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58FA1">
      <w:pPr>
        <w:spacing w:before="468" w:beforeLines="150"/>
        <w:jc w:val="center"/>
        <w:rPr>
          <w:rFonts w:eastAsia="黑体"/>
          <w:sz w:val="48"/>
          <w:szCs w:val="48"/>
        </w:rPr>
      </w:pPr>
      <w:bookmarkStart w:id="0" w:name="_Toc10018"/>
      <w:bookmarkStart w:id="1" w:name="_Toc19595"/>
    </w:p>
    <w:p w14:paraId="2F7AD911">
      <w:pPr>
        <w:spacing w:before="468" w:beforeLines="150"/>
        <w:jc w:val="center"/>
        <w:rPr>
          <w:rFonts w:eastAsia="黑体"/>
          <w:sz w:val="48"/>
          <w:szCs w:val="48"/>
        </w:rPr>
      </w:pPr>
    </w:p>
    <w:p w14:paraId="3414F838">
      <w:pPr>
        <w:spacing w:before="468" w:beforeLines="150"/>
        <w:jc w:val="center"/>
        <w:rPr>
          <w:rFonts w:eastAsia="黑体"/>
          <w:sz w:val="48"/>
          <w:szCs w:val="48"/>
        </w:rPr>
      </w:pPr>
    </w:p>
    <w:p w14:paraId="16C084A6">
      <w:pPr>
        <w:spacing w:before="468" w:beforeLines="150"/>
        <w:jc w:val="center"/>
        <w:rPr>
          <w:rFonts w:eastAsia="黑体"/>
          <w:sz w:val="48"/>
          <w:szCs w:val="48"/>
        </w:rPr>
      </w:pPr>
      <w:r>
        <w:rPr>
          <w:rFonts w:hint="eastAsia" w:eastAsia="黑体"/>
          <w:sz w:val="48"/>
          <w:szCs w:val="48"/>
        </w:rPr>
        <w:t>《铸造用生铁生产主要工序单位产品能源消耗等级及计算方法》</w:t>
      </w:r>
    </w:p>
    <w:p w14:paraId="72AD9BB5">
      <w:pPr>
        <w:spacing w:before="468" w:beforeLines="150"/>
        <w:jc w:val="center"/>
        <w:rPr>
          <w:rFonts w:eastAsiaTheme="minorEastAsia"/>
          <w:sz w:val="24"/>
          <w:szCs w:val="28"/>
        </w:rPr>
      </w:pPr>
      <w:r>
        <w:rPr>
          <w:rFonts w:hint="eastAsia" w:eastAsia="黑体" w:cs="宋体"/>
          <w:sz w:val="48"/>
          <w:szCs w:val="48"/>
        </w:rPr>
        <w:t>（</w:t>
      </w:r>
      <w:r>
        <w:rPr>
          <w:rFonts w:hint="eastAsia" w:eastAsia="黑体"/>
          <w:sz w:val="48"/>
          <w:szCs w:val="48"/>
        </w:rPr>
        <w:t>征求意见稿）</w:t>
      </w:r>
    </w:p>
    <w:p w14:paraId="093B72EE">
      <w:pPr>
        <w:snapToGrid w:val="0"/>
        <w:jc w:val="center"/>
        <w:rPr>
          <w:rFonts w:eastAsia="黑体"/>
          <w:sz w:val="52"/>
          <w:szCs w:val="52"/>
        </w:rPr>
      </w:pPr>
    </w:p>
    <w:p w14:paraId="48B4D7D2">
      <w:pPr>
        <w:snapToGrid w:val="0"/>
        <w:jc w:val="center"/>
        <w:rPr>
          <w:rFonts w:hint="eastAsia" w:ascii="楷体_GB2312" w:hAnsi="宋体" w:eastAsia="楷体_GB2312" w:cs="宋体"/>
          <w:b/>
          <w:bCs/>
          <w:sz w:val="40"/>
          <w:szCs w:val="40"/>
        </w:rPr>
      </w:pPr>
      <w:r>
        <w:rPr>
          <w:rFonts w:hint="eastAsia" w:ascii="楷体_GB2312" w:eastAsia="楷体_GB2312"/>
          <w:b/>
          <w:bCs/>
          <w:sz w:val="40"/>
          <w:szCs w:val="40"/>
        </w:rPr>
        <w:t>编制说明</w:t>
      </w:r>
      <w:bookmarkEnd w:id="0"/>
      <w:bookmarkEnd w:id="1"/>
    </w:p>
    <w:p w14:paraId="5CC87871">
      <w:pPr>
        <w:jc w:val="center"/>
        <w:rPr>
          <w:sz w:val="44"/>
          <w:szCs w:val="44"/>
        </w:rPr>
      </w:pPr>
    </w:p>
    <w:p w14:paraId="11C16923">
      <w:pPr>
        <w:jc w:val="center"/>
        <w:rPr>
          <w:sz w:val="44"/>
          <w:szCs w:val="44"/>
        </w:rPr>
      </w:pPr>
    </w:p>
    <w:p w14:paraId="43EB0E46">
      <w:pPr>
        <w:jc w:val="center"/>
        <w:rPr>
          <w:sz w:val="44"/>
          <w:szCs w:val="44"/>
        </w:rPr>
      </w:pPr>
    </w:p>
    <w:p w14:paraId="2B8F73DD">
      <w:pPr>
        <w:jc w:val="center"/>
        <w:rPr>
          <w:sz w:val="44"/>
          <w:szCs w:val="44"/>
        </w:rPr>
      </w:pPr>
    </w:p>
    <w:p w14:paraId="395CB65C">
      <w:pPr>
        <w:jc w:val="center"/>
        <w:rPr>
          <w:sz w:val="44"/>
          <w:szCs w:val="44"/>
        </w:rPr>
      </w:pPr>
    </w:p>
    <w:p w14:paraId="34CCAF6E">
      <w:pPr>
        <w:jc w:val="center"/>
        <w:rPr>
          <w:sz w:val="44"/>
          <w:szCs w:val="44"/>
        </w:rPr>
      </w:pPr>
    </w:p>
    <w:p w14:paraId="2B72D7CB">
      <w:pPr>
        <w:jc w:val="center"/>
        <w:rPr>
          <w:sz w:val="44"/>
          <w:szCs w:val="44"/>
        </w:rPr>
      </w:pPr>
    </w:p>
    <w:p w14:paraId="6FCD4F80">
      <w:pPr>
        <w:jc w:val="center"/>
        <w:rPr>
          <w:sz w:val="44"/>
          <w:szCs w:val="44"/>
        </w:rPr>
      </w:pPr>
    </w:p>
    <w:p w14:paraId="326FC9A7">
      <w:pPr>
        <w:jc w:val="center"/>
        <w:rPr>
          <w:sz w:val="44"/>
          <w:szCs w:val="44"/>
        </w:rPr>
      </w:pPr>
    </w:p>
    <w:p w14:paraId="0597D1BB">
      <w:pPr>
        <w:pStyle w:val="32"/>
        <w:jc w:val="center"/>
        <w:rPr>
          <w:rFonts w:hint="eastAsia" w:ascii="华文隶书" w:hAnsi="华文隶书" w:eastAsia="华文隶书" w:cs="华文隶书"/>
          <w:b/>
          <w:bCs/>
          <w:sz w:val="32"/>
          <w:szCs w:val="32"/>
          <w:lang w:val="zh-TW"/>
        </w:rPr>
      </w:pPr>
      <w:bookmarkStart w:id="2" w:name="_Toc1173"/>
      <w:bookmarkStart w:id="3" w:name="_Toc8974"/>
      <w:r>
        <w:rPr>
          <w:rFonts w:ascii="华文隶书" w:hAnsi="华文隶书" w:eastAsia="华文隶书" w:cs="华文隶书"/>
          <w:b/>
          <w:bCs/>
          <w:sz w:val="32"/>
          <w:szCs w:val="32"/>
          <w:lang w:val="zh-TW"/>
        </w:rPr>
        <w:t>标准起草组</w:t>
      </w:r>
    </w:p>
    <w:p w14:paraId="2C55A00B">
      <w:pPr>
        <w:jc w:val="center"/>
        <w:rPr>
          <w:color w:val="000000" w:themeColor="text1"/>
          <w:sz w:val="24"/>
          <w:szCs w:val="24"/>
          <w14:textFill>
            <w14:solidFill>
              <w14:schemeClr w14:val="tx1"/>
            </w14:solidFill>
          </w14:textFill>
        </w:rPr>
      </w:pPr>
      <w:r>
        <w:rPr>
          <w:rFonts w:ascii="华文隶书" w:hAnsi="华文隶书" w:eastAsia="华文隶书" w:cs="华文隶书"/>
          <w:b/>
          <w:bCs/>
          <w:color w:val="000000" w:themeColor="text1"/>
          <w:szCs w:val="28"/>
          <w:lang w:val="zh-TW"/>
          <w14:textFill>
            <w14:solidFill>
              <w14:schemeClr w14:val="tx1"/>
            </w14:solidFill>
          </w14:textFill>
        </w:rPr>
        <w:t>二〇二</w:t>
      </w:r>
      <w:r>
        <w:rPr>
          <w:rFonts w:hint="eastAsia" w:ascii="华文隶书" w:hAnsi="华文隶书" w:eastAsia="华文隶书" w:cs="华文隶书"/>
          <w:b/>
          <w:bCs/>
          <w:color w:val="000000" w:themeColor="text1"/>
          <w:szCs w:val="28"/>
          <w14:textFill>
            <w14:solidFill>
              <w14:schemeClr w14:val="tx1"/>
            </w14:solidFill>
          </w14:textFill>
        </w:rPr>
        <w:t>六</w:t>
      </w:r>
      <w:r>
        <w:rPr>
          <w:rFonts w:ascii="华文隶书" w:hAnsi="华文隶书" w:eastAsia="华文隶书" w:cs="华文隶书"/>
          <w:b/>
          <w:bCs/>
          <w:color w:val="000000" w:themeColor="text1"/>
          <w:szCs w:val="28"/>
          <w:lang w:val="zh-TW"/>
          <w14:textFill>
            <w14:solidFill>
              <w14:schemeClr w14:val="tx1"/>
            </w14:solidFill>
          </w14:textFill>
        </w:rPr>
        <w:t>年</w:t>
      </w:r>
      <w:r>
        <w:rPr>
          <w:rFonts w:hint="eastAsia" w:ascii="华文隶书" w:hAnsi="华文隶书" w:eastAsia="华文隶书" w:cs="华文隶书"/>
          <w:b/>
          <w:bCs/>
          <w:color w:val="000000" w:themeColor="text1"/>
          <w:szCs w:val="28"/>
          <w14:textFill>
            <w14:solidFill>
              <w14:schemeClr w14:val="tx1"/>
            </w14:solidFill>
          </w14:textFill>
        </w:rPr>
        <w:t>三</w:t>
      </w:r>
      <w:r>
        <w:rPr>
          <w:rFonts w:ascii="华文隶书" w:hAnsi="华文隶书" w:eastAsia="华文隶书" w:cs="华文隶书"/>
          <w:b/>
          <w:bCs/>
          <w:color w:val="000000" w:themeColor="text1"/>
          <w:szCs w:val="28"/>
          <w:lang w:val="zh-TW"/>
          <w14:textFill>
            <w14:solidFill>
              <w14:schemeClr w14:val="tx1"/>
            </w14:solidFill>
          </w14:textFill>
        </w:rPr>
        <w:t>月</w:t>
      </w:r>
      <w:bookmarkEnd w:id="2"/>
      <w:bookmarkEnd w:id="3"/>
    </w:p>
    <w:p w14:paraId="18097D91">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工作简况</w:t>
      </w:r>
    </w:p>
    <w:p w14:paraId="3F22F233">
      <w:pPr>
        <w:spacing w:before="156" w:beforeLines="50" w:after="156" w:afterLines="50" w:line="440" w:lineRule="exact"/>
        <w:ind w:firstLine="482" w:firstLineChars="200"/>
        <w:outlineLvl w:val="0"/>
        <w:rPr>
          <w:rFonts w:hint="eastAsia"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.任务来源</w:t>
      </w:r>
    </w:p>
    <w:p w14:paraId="3F27234D">
      <w:pPr>
        <w:pStyle w:val="2"/>
        <w:spacing w:line="360" w:lineRule="auto"/>
        <w:ind w:firstLine="420" w:firstLineChars="200"/>
        <w:rPr>
          <w:rFonts w:hint="eastAsia" w:asciiTheme="minorEastAsia" w:hAnsiTheme="minorEastAsia" w:eastAsiaTheme="minorEastAsia" w:cstheme="minorEastAsia"/>
          <w:iCs/>
          <w:sz w:val="21"/>
          <w:szCs w:val="21"/>
        </w:rPr>
      </w:pPr>
      <w:r>
        <w:rPr>
          <w:rFonts w:hint="eastAsia" w:asciiTheme="minorEastAsia" w:hAnsiTheme="minorEastAsia" w:eastAsiaTheme="minorEastAsia" w:cstheme="minorEastAsia"/>
          <w:iCs/>
          <w:sz w:val="21"/>
          <w:szCs w:val="21"/>
        </w:rPr>
        <w:t>《</w:t>
      </w:r>
      <w:r>
        <w:rPr>
          <w:rFonts w:asciiTheme="minorEastAsia" w:hAnsiTheme="minorEastAsia" w:eastAsiaTheme="minorEastAsia" w:cstheme="minorEastAsia"/>
          <w:iCs/>
          <w:sz w:val="21"/>
          <w:szCs w:val="21"/>
        </w:rPr>
        <w:t>铸造用生铁生产主要工序单位产品能源消耗等级及计算方法</w:t>
      </w:r>
      <w:r>
        <w:rPr>
          <w:rFonts w:hint="eastAsia" w:asciiTheme="minorEastAsia" w:hAnsiTheme="minorEastAsia" w:eastAsiaTheme="minorEastAsia" w:cstheme="minorEastAsia"/>
          <w:iCs/>
          <w:sz w:val="21"/>
          <w:szCs w:val="21"/>
        </w:rPr>
        <w:t>》国家标准指导性技术文件任务来源于国家标准化管理委员会2025年国家标准制定计划，计划号：20253131-Z-469，本标准由全国绿色制造技术标准化技术委员会（TC337）、全国铸造标准化技术委员会（TC54）联合归口。标准制定工作由新兴铸管股份有限公司、河北龙凤山新材料科技集团有限公司等单位负责。</w:t>
      </w:r>
    </w:p>
    <w:p w14:paraId="19B40090">
      <w:pPr>
        <w:spacing w:before="156" w:beforeLines="50" w:after="156" w:afterLines="50" w:line="360" w:lineRule="auto"/>
        <w:ind w:firstLine="482" w:firstLineChars="200"/>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2.制定背景</w:t>
      </w:r>
    </w:p>
    <w:p w14:paraId="6A71670D">
      <w:pPr>
        <w:spacing w:line="360" w:lineRule="auto"/>
        <w:ind w:firstLine="420" w:firstLineChars="200"/>
        <w:rPr>
          <w:rFonts w:hint="eastAsia" w:asciiTheme="minorEastAsia" w:hAnsiTheme="minorEastAsia" w:eastAsiaTheme="minorEastAsia" w:cstheme="minorEastAsia"/>
          <w:iCs/>
          <w:sz w:val="21"/>
          <w:szCs w:val="21"/>
        </w:rPr>
      </w:pPr>
      <w:r>
        <w:rPr>
          <w:rFonts w:hint="eastAsia" w:asciiTheme="minorEastAsia" w:hAnsiTheme="minorEastAsia" w:eastAsiaTheme="minorEastAsia" w:cstheme="minorEastAsia"/>
          <w:iCs/>
          <w:sz w:val="21"/>
          <w:szCs w:val="21"/>
        </w:rPr>
        <w:t>在</w:t>
      </w:r>
      <w:r>
        <w:rPr>
          <w:rFonts w:asciiTheme="minorEastAsia" w:hAnsiTheme="minorEastAsia" w:eastAsiaTheme="minorEastAsia" w:cstheme="minorEastAsia"/>
          <w:iCs/>
          <w:sz w:val="21"/>
          <w:szCs w:val="21"/>
        </w:rPr>
        <w:t>“</w:t>
      </w:r>
      <w:r>
        <w:rPr>
          <w:rFonts w:hint="eastAsia" w:asciiTheme="minorEastAsia" w:hAnsiTheme="minorEastAsia" w:eastAsiaTheme="minorEastAsia" w:cstheme="minorEastAsia"/>
          <w:iCs/>
          <w:sz w:val="21"/>
          <w:szCs w:val="21"/>
        </w:rPr>
        <w:t>双碳</w:t>
      </w:r>
      <w:r>
        <w:rPr>
          <w:rFonts w:asciiTheme="minorEastAsia" w:hAnsiTheme="minorEastAsia" w:eastAsiaTheme="minorEastAsia" w:cstheme="minorEastAsia"/>
          <w:iCs/>
          <w:sz w:val="21"/>
          <w:szCs w:val="21"/>
        </w:rPr>
        <w:t>”</w:t>
      </w:r>
      <w:r>
        <w:rPr>
          <w:rFonts w:hint="eastAsia" w:asciiTheme="minorEastAsia" w:hAnsiTheme="minorEastAsia" w:eastAsiaTheme="minorEastAsia" w:cstheme="minorEastAsia"/>
          <w:iCs/>
          <w:sz w:val="21"/>
          <w:szCs w:val="21"/>
        </w:rPr>
        <w:t>目标引领下，绿色低碳已成为制造业高质量发展的核心导向，中共中央、国务院印发的《国家标准化发展纲要》明确要求加快节能标准更新升级，扩大能耗标准覆盖范围，完善能源核算配套标准。国务院印发的《推动大规模设备更新和消费品以旧换新行动方案》也提出，要对标国际先进水平，加快制修订节能降碳领域标准，通过强化能效约束倒逼产业提质升级。压铸行业作为工业能耗的重要组成部分，其综合能耗的标准化管控，是落实国家节能降碳战略、推动产业绿色发展的必然要求，也是完善我国工业节能标准体系的重要举措。</w:t>
      </w:r>
    </w:p>
    <w:p w14:paraId="196A8CDD">
      <w:pPr>
        <w:spacing w:line="360" w:lineRule="auto"/>
        <w:ind w:firstLine="420" w:firstLineChars="200"/>
        <w:rPr>
          <w:rFonts w:hint="eastAsia" w:asciiTheme="minorEastAsia" w:hAnsiTheme="minorEastAsia" w:eastAsiaTheme="minorEastAsia" w:cstheme="minorEastAsia"/>
          <w:iCs/>
          <w:sz w:val="21"/>
          <w:szCs w:val="21"/>
        </w:rPr>
      </w:pPr>
      <w:r>
        <w:rPr>
          <w:rFonts w:hint="eastAsia" w:asciiTheme="minorEastAsia" w:hAnsiTheme="minorEastAsia" w:eastAsiaTheme="minorEastAsia" w:cstheme="minorEastAsia"/>
          <w:iCs/>
          <w:sz w:val="21"/>
          <w:szCs w:val="21"/>
        </w:rPr>
        <w:t>目前，我国铸造用生铁生产企业约120家左右，其中高炉200m</w:t>
      </w:r>
      <w:r>
        <w:rPr>
          <w:rFonts w:hint="eastAsia" w:asciiTheme="minorEastAsia" w:hAnsiTheme="minorEastAsia" w:eastAsiaTheme="minorEastAsia" w:cstheme="minorEastAsia"/>
          <w:iCs/>
          <w:sz w:val="21"/>
          <w:szCs w:val="21"/>
          <w:vertAlign w:val="superscript"/>
        </w:rPr>
        <w:t>3</w:t>
      </w:r>
      <w:r>
        <w:rPr>
          <w:rFonts w:hint="eastAsia" w:asciiTheme="minorEastAsia" w:hAnsiTheme="minorEastAsia" w:eastAsiaTheme="minorEastAsia" w:cstheme="minorEastAsia"/>
          <w:iCs/>
          <w:sz w:val="21"/>
          <w:szCs w:val="21"/>
        </w:rPr>
        <w:t>以下、200-300m</w:t>
      </w:r>
      <w:r>
        <w:rPr>
          <w:rFonts w:hint="eastAsia" w:asciiTheme="minorEastAsia" w:hAnsiTheme="minorEastAsia" w:eastAsiaTheme="minorEastAsia" w:cstheme="minorEastAsia"/>
          <w:iCs/>
          <w:sz w:val="21"/>
          <w:szCs w:val="21"/>
          <w:vertAlign w:val="superscript"/>
        </w:rPr>
        <w:t>3</w:t>
      </w:r>
      <w:r>
        <w:rPr>
          <w:rFonts w:hint="eastAsia" w:asciiTheme="minorEastAsia" w:hAnsiTheme="minorEastAsia" w:eastAsiaTheme="minorEastAsia" w:cstheme="minorEastAsia"/>
          <w:iCs/>
          <w:sz w:val="21"/>
          <w:szCs w:val="21"/>
        </w:rPr>
        <w:t>、300m</w:t>
      </w:r>
      <w:r>
        <w:rPr>
          <w:rFonts w:hint="eastAsia" w:asciiTheme="minorEastAsia" w:hAnsiTheme="minorEastAsia" w:eastAsiaTheme="minorEastAsia" w:cstheme="minorEastAsia"/>
          <w:iCs/>
          <w:sz w:val="21"/>
          <w:szCs w:val="21"/>
          <w:vertAlign w:val="superscript"/>
        </w:rPr>
        <w:t>3</w:t>
      </w:r>
      <w:r>
        <w:rPr>
          <w:rFonts w:hint="eastAsia" w:asciiTheme="minorEastAsia" w:hAnsiTheme="minorEastAsia" w:eastAsiaTheme="minorEastAsia" w:cstheme="minorEastAsia"/>
          <w:iCs/>
          <w:sz w:val="21"/>
          <w:szCs w:val="21"/>
        </w:rPr>
        <w:t>以上企业各占三分之一。根据中铸协统计，我国铸造用生铁企业2024年产量约1500万吨，其中球墨铸铁用生铁约900万吨，高纯生铁及风电用生铁200万吨，灰铁用生铁400万吨。</w:t>
      </w:r>
    </w:p>
    <w:p w14:paraId="4F2CCA57">
      <w:pPr>
        <w:spacing w:line="360" w:lineRule="auto"/>
        <w:ind w:firstLine="420" w:firstLineChars="200"/>
        <w:rPr>
          <w:rFonts w:hint="eastAsia" w:asciiTheme="minorEastAsia" w:hAnsiTheme="minorEastAsia" w:eastAsiaTheme="minorEastAsia" w:cstheme="minorEastAsia"/>
          <w:iCs/>
          <w:sz w:val="21"/>
          <w:szCs w:val="21"/>
        </w:rPr>
      </w:pPr>
      <w:r>
        <w:rPr>
          <w:rFonts w:asciiTheme="minorEastAsia" w:hAnsiTheme="minorEastAsia" w:eastAsiaTheme="minorEastAsia" w:cstheme="minorEastAsia"/>
          <w:iCs/>
          <w:sz w:val="21"/>
          <w:szCs w:val="21"/>
        </w:rPr>
        <w:t>铸造用生铁企业属于炼铁企业，现阶段我国铸造用生铁企业能耗标准均按照《粗钢生产主要工序单位产品能源消耗限额》（GB 21256）标准执行，但该文件的标准化对象是钢铁企业，未考虑铸造用生铁生产企业小烧结、小高炉、小球团的生产工艺装备的能耗现状与节能技术应用情况，导致该文件的主要指标相对铸造用生铁生产企业过于严苛，所有铸造用生铁生产企业均无法达到该文件</w:t>
      </w:r>
      <w:r>
        <w:rPr>
          <w:rFonts w:hint="eastAsia" w:asciiTheme="minorEastAsia" w:hAnsiTheme="minorEastAsia" w:eastAsiaTheme="minorEastAsia" w:cstheme="minorEastAsia"/>
          <w:iCs/>
          <w:sz w:val="21"/>
          <w:szCs w:val="21"/>
        </w:rPr>
        <w:t>先进值</w:t>
      </w:r>
      <w:r>
        <w:rPr>
          <w:rFonts w:asciiTheme="minorEastAsia" w:hAnsiTheme="minorEastAsia" w:eastAsiaTheme="minorEastAsia" w:cstheme="minorEastAsia"/>
          <w:iCs/>
          <w:sz w:val="21"/>
          <w:szCs w:val="21"/>
        </w:rPr>
        <w:t>指标要求。在减污降碳的大背景下，铸造用生铁生产企业正面临节能降碳政策约束与产业链低碳转型的巨大压力，亟需适用的能耗标准规范和引导行业企业绿色低碳发展。</w:t>
      </w:r>
      <w:r>
        <w:rPr>
          <w:rFonts w:hint="eastAsia" w:asciiTheme="minorEastAsia" w:hAnsiTheme="minorEastAsia" w:eastAsiaTheme="minorEastAsia" w:cstheme="minorEastAsia"/>
          <w:iCs/>
          <w:sz w:val="21"/>
          <w:szCs w:val="21"/>
        </w:rPr>
        <w:t>因此，该标准的制定与实施，将填补我国压铸行业综合能耗标准化的空白，为行业节能管理、政府监管、企业对标提供科学依据，对推动我国装备制造业高质量发展、助力</w:t>
      </w:r>
      <w:r>
        <w:rPr>
          <w:rFonts w:asciiTheme="minorEastAsia" w:hAnsiTheme="minorEastAsia" w:eastAsiaTheme="minorEastAsia" w:cstheme="minorEastAsia"/>
          <w:iCs/>
          <w:sz w:val="21"/>
          <w:szCs w:val="21"/>
        </w:rPr>
        <w:t>“</w:t>
      </w:r>
      <w:r>
        <w:rPr>
          <w:rFonts w:hint="eastAsia" w:asciiTheme="minorEastAsia" w:hAnsiTheme="minorEastAsia" w:eastAsiaTheme="minorEastAsia" w:cstheme="minorEastAsia"/>
          <w:iCs/>
          <w:sz w:val="21"/>
          <w:szCs w:val="21"/>
        </w:rPr>
        <w:t>双碳</w:t>
      </w:r>
      <w:r>
        <w:rPr>
          <w:rFonts w:asciiTheme="minorEastAsia" w:hAnsiTheme="minorEastAsia" w:eastAsiaTheme="minorEastAsia" w:cstheme="minorEastAsia"/>
          <w:iCs/>
          <w:sz w:val="21"/>
          <w:szCs w:val="21"/>
        </w:rPr>
        <w:t>”</w:t>
      </w:r>
      <w:r>
        <w:rPr>
          <w:rFonts w:hint="eastAsia" w:asciiTheme="minorEastAsia" w:hAnsiTheme="minorEastAsia" w:eastAsiaTheme="minorEastAsia" w:cstheme="minorEastAsia"/>
          <w:iCs/>
          <w:sz w:val="21"/>
          <w:szCs w:val="21"/>
        </w:rPr>
        <w:t>目标实现具有重要的现实意义和长远价值。</w:t>
      </w:r>
    </w:p>
    <w:p w14:paraId="045B53E9">
      <w:pPr>
        <w:spacing w:before="156" w:beforeLines="50" w:after="156" w:afterLines="50" w:line="360" w:lineRule="auto"/>
        <w:ind w:firstLine="482" w:firstLineChars="200"/>
        <w:outlineLvl w:val="0"/>
        <w:rPr>
          <w:rFonts w:hint="eastAsia"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3</w:t>
      </w:r>
      <w:r>
        <w:rPr>
          <w:rFonts w:hint="eastAsia" w:asciiTheme="minorEastAsia" w:hAnsiTheme="minorEastAsia" w:eastAsiaTheme="minorEastAsia" w:cstheme="minorEastAsia"/>
          <w:b/>
          <w:bCs/>
          <w:sz w:val="24"/>
          <w:szCs w:val="24"/>
        </w:rPr>
        <w:t>.协作单位及工作分工</w:t>
      </w:r>
    </w:p>
    <w:p w14:paraId="3A161AEB">
      <w:pPr>
        <w:pStyle w:val="2"/>
        <w:spacing w:line="360" w:lineRule="auto"/>
        <w:ind w:firstLine="420" w:firstLineChars="200"/>
        <w:rPr>
          <w:rFonts w:hint="eastAsia" w:asciiTheme="minorEastAsia" w:hAnsiTheme="minorEastAsia" w:eastAsiaTheme="minorEastAsia" w:cstheme="minorEastAsia"/>
          <w:iCs/>
          <w:sz w:val="21"/>
          <w:szCs w:val="21"/>
        </w:rPr>
      </w:pPr>
      <w:r>
        <w:rPr>
          <w:rFonts w:hint="eastAsia" w:asciiTheme="minorEastAsia" w:hAnsiTheme="minorEastAsia" w:eastAsiaTheme="minorEastAsia" w:cstheme="minorEastAsia"/>
          <w:iCs/>
          <w:sz w:val="21"/>
          <w:szCs w:val="21"/>
        </w:rPr>
        <w:t>本文件起草单位：新兴铸管股份有限公司、河北龙凤山新材料科技集团有限公司、临沂玫德庚辰金属材料有限公司、昌黎县兴国精密机件有限公司、中机研标准技术研究院（北京）有限公司、圣戈班管道系统有限公司、云南省玉溪市太标钢铁有限公司、交口县天鹏冶炼有限公司、交口县旺庄生铁有限责任公司、交口县天马能源实业有限公司、新兴河北工程技术有限公司、国铭铸管股份有限公司、林州市合鑫铸业有限公司、山西建邦集团铸造有限公司、本溪参铁（集团）有限公司、翼城县飞翔铸管有限公司、山西中兴铸业集团有限公司、安阳鑫源铸业有限公司、山西晋钢铸业有限公司、安钢集团永通球墨铸铁管有限责任公司、生态环境部南京环境科学研究所、日照铸福实业有限公司、山西圣士达铸业有限公司、池州学院、中国机械总院集团沈阳铸造研究所有限公司、中国铸造协会、上海电气上重铸锻有限公司。</w:t>
      </w:r>
    </w:p>
    <w:p w14:paraId="3EAEBF20">
      <w:pPr>
        <w:pStyle w:val="2"/>
        <w:spacing w:line="360" w:lineRule="auto"/>
        <w:ind w:firstLine="420" w:firstLineChars="200"/>
        <w:rPr>
          <w:rFonts w:hint="eastAsia" w:asciiTheme="minorEastAsia" w:hAnsiTheme="minorEastAsia" w:eastAsiaTheme="minorEastAsia" w:cstheme="minorEastAsia"/>
          <w:iCs/>
          <w:sz w:val="21"/>
          <w:szCs w:val="21"/>
        </w:rPr>
      </w:pPr>
      <w:r>
        <w:rPr>
          <w:rFonts w:hint="eastAsia" w:asciiTheme="minorEastAsia" w:hAnsiTheme="minorEastAsia" w:eastAsiaTheme="minorEastAsia" w:cstheme="minorEastAsia"/>
          <w:iCs/>
          <w:sz w:val="21"/>
          <w:szCs w:val="21"/>
        </w:rPr>
        <w:t>本文件主要起草人：李冰、刘玉江、张志义、刘权利、王丹丹、孙婷婷、何根、余伟、胡胜利、郭德峰、李海漪、李亮、李计平、张玉湖、景学广、刘力强、孙向阳、侯宝林、闫翔、李帅、牛佳怡、苏柏林、张鑫、刘志伟、朱家辉、赵刚、吴仁贵、王凤、王连杰、刘树生、乔世杰、祝建楠。</w:t>
      </w:r>
    </w:p>
    <w:p w14:paraId="51D31A71">
      <w:pPr>
        <w:pStyle w:val="24"/>
        <w:spacing w:line="360" w:lineRule="auto"/>
        <w:ind w:firstLine="420"/>
        <w:rPr>
          <w:rFonts w:hint="eastAsia"/>
          <w:color w:val="000000" w:themeColor="text1"/>
          <w:szCs w:val="21"/>
          <w14:textFill>
            <w14:solidFill>
              <w14:schemeClr w14:val="tx1"/>
            </w14:solidFill>
          </w14:textFill>
        </w:rPr>
      </w:pPr>
      <w:r>
        <w:rPr>
          <w:rFonts w:hint="eastAsia"/>
          <w:color w:val="000000" w:themeColor="text1"/>
          <w14:textFill>
            <w14:solidFill>
              <w14:schemeClr w14:val="tx1"/>
            </w14:solidFill>
          </w14:textFill>
        </w:rPr>
        <w:t>工作分工：</w:t>
      </w:r>
      <w:r>
        <w:rPr>
          <w:rFonts w:hint="eastAsia" w:asciiTheme="minorEastAsia" w:hAnsiTheme="minorEastAsia" w:eastAsiaTheme="minorEastAsia" w:cstheme="minorEastAsia"/>
          <w:iCs/>
          <w:szCs w:val="21"/>
        </w:rPr>
        <w:t>李冰、刘玉江、张志义、刘权利、王丹丹、孙婷婷</w:t>
      </w:r>
      <w:r>
        <w:rPr>
          <w:rFonts w:hint="eastAsia"/>
          <w:color w:val="000000" w:themeColor="text1"/>
          <w14:textFill>
            <w14:solidFill>
              <w14:schemeClr w14:val="tx1"/>
            </w14:solidFill>
          </w14:textFill>
        </w:rPr>
        <w:t>负责标准框架的设计、行业需求的捕获融合、标准的编制，全面把握编制进展情况，并对标准质量进行审查和把关，协助确定标准部分技术指标，组织标准技术内容研讨，并征集国内各行业的标准意见；</w:t>
      </w:r>
      <w:r>
        <w:rPr>
          <w:rFonts w:hint="eastAsia" w:asciiTheme="minorEastAsia" w:hAnsiTheme="minorEastAsia" w:eastAsiaTheme="minorEastAsia" w:cstheme="minorEastAsia"/>
          <w:iCs/>
          <w:szCs w:val="21"/>
        </w:rPr>
        <w:t>何根、余伟、胡胜利、郭德峰、李海漪、李亮、李计平、张玉湖、景学广</w:t>
      </w:r>
      <w:r>
        <w:rPr>
          <w:rFonts w:hint="eastAsia"/>
          <w:color w:val="000000" w:themeColor="text1"/>
          <w14:textFill>
            <w14:solidFill>
              <w14:schemeClr w14:val="tx1"/>
            </w14:solidFill>
          </w14:textFill>
        </w:rPr>
        <w:t>协助确定标准大部分内容的技术指标和标准应用研究情况，并参与标准技术内容的讨论，保证标准技术内容的准确、协调、一致；</w:t>
      </w:r>
      <w:r>
        <w:rPr>
          <w:rFonts w:hint="eastAsia" w:asciiTheme="minorEastAsia" w:hAnsiTheme="minorEastAsia" w:eastAsiaTheme="minorEastAsia" w:cstheme="minorEastAsia"/>
          <w:iCs/>
          <w:szCs w:val="21"/>
        </w:rPr>
        <w:t>刘力强、孙向阳、侯宝林、闫翔、李帅、牛佳怡、苏柏林、张鑫、刘志伟、朱家辉、赵刚、吴仁贵、王凤、王连杰、刘树生、乔世杰、祝建楠</w:t>
      </w:r>
      <w:r>
        <w:rPr>
          <w:rFonts w:hint="eastAsia"/>
          <w:color w:val="000000" w:themeColor="text1"/>
          <w14:textFill>
            <w14:solidFill>
              <w14:schemeClr w14:val="tx1"/>
            </w14:solidFill>
          </w14:textFill>
        </w:rPr>
        <w:t>确定标准其他部分内容的技术指标，并参与标准技术内容的讨论，保证标准技术内容的准确、协调、一致</w:t>
      </w:r>
      <w:r>
        <w:rPr>
          <w:rFonts w:hint="eastAsia"/>
          <w:color w:val="000000" w:themeColor="text1"/>
          <w:szCs w:val="21"/>
          <w14:textFill>
            <w14:solidFill>
              <w14:schemeClr w14:val="tx1"/>
            </w14:solidFill>
          </w14:textFill>
        </w:rPr>
        <w:t>。</w:t>
      </w:r>
    </w:p>
    <w:p w14:paraId="4BB51DF6">
      <w:pPr>
        <w:spacing w:before="156" w:beforeLines="50" w:after="156" w:afterLines="50" w:line="360" w:lineRule="auto"/>
        <w:ind w:firstLine="482" w:firstLineChars="200"/>
        <w:outlineLvl w:val="0"/>
        <w:rPr>
          <w:rFonts w:hint="eastAsia"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4</w:t>
      </w:r>
      <w:r>
        <w:rPr>
          <w:rFonts w:hint="eastAsia" w:asciiTheme="minorEastAsia" w:hAnsiTheme="minorEastAsia" w:eastAsiaTheme="minorEastAsia" w:cstheme="minorEastAsia"/>
          <w:b/>
          <w:bCs/>
          <w:sz w:val="24"/>
          <w:szCs w:val="24"/>
        </w:rPr>
        <w:t>.编制过程</w:t>
      </w:r>
    </w:p>
    <w:p w14:paraId="7E4B3CFB">
      <w:pPr>
        <w:spacing w:before="156" w:beforeLines="50" w:after="156" w:afterLines="50" w:line="360" w:lineRule="auto"/>
        <w:ind w:firstLine="422" w:firstLineChars="200"/>
        <w:outlineLvl w:val="0"/>
        <w:rPr>
          <w:rFonts w:hint="eastAsia" w:ascii="宋体" w:hAnsi="宋体" w:eastAsia="宋体" w:cstheme="minorBidi"/>
          <w:b/>
          <w:bCs/>
          <w:color w:val="000000" w:themeColor="text1"/>
          <w:sz w:val="21"/>
          <w:szCs w:val="24"/>
          <w14:textFill>
            <w14:solidFill>
              <w14:schemeClr w14:val="tx1"/>
            </w14:solidFill>
          </w14:textFill>
        </w:rPr>
      </w:pPr>
      <w:r>
        <w:rPr>
          <w:rFonts w:hint="eastAsia" w:ascii="宋体" w:hAnsi="宋体" w:eastAsia="宋体" w:cstheme="minorBidi"/>
          <w:b/>
          <w:bCs/>
          <w:color w:val="000000" w:themeColor="text1"/>
          <w:sz w:val="21"/>
          <w:szCs w:val="24"/>
          <w14:textFill>
            <w14:solidFill>
              <w14:schemeClr w14:val="tx1"/>
            </w14:solidFill>
          </w14:textFill>
        </w:rPr>
        <w:t>1）起草阶段：</w:t>
      </w:r>
    </w:p>
    <w:p w14:paraId="29B62E03">
      <w:pPr>
        <w:pStyle w:val="24"/>
        <w:spacing w:line="360" w:lineRule="auto"/>
        <w:ind w:firstLine="420"/>
        <w:rPr>
          <w:rFonts w:hint="eastAsia"/>
          <w:color w:val="000000" w:themeColor="text1"/>
          <w14:textFill>
            <w14:solidFill>
              <w14:schemeClr w14:val="tx1"/>
            </w14:solidFill>
          </w14:textFill>
        </w:rPr>
      </w:pPr>
      <w:r>
        <w:rPr>
          <w:color w:val="000000" w:themeColor="text1"/>
          <w14:textFill>
            <w14:solidFill>
              <w14:schemeClr w14:val="tx1"/>
            </w14:solidFill>
          </w14:textFill>
        </w:rPr>
        <w:t>本标准20</w:t>
      </w:r>
      <w:r>
        <w:rPr>
          <w:rFonts w:hint="eastAsia"/>
          <w:color w:val="000000" w:themeColor="text1"/>
          <w14:textFill>
            <w14:solidFill>
              <w14:schemeClr w14:val="tx1"/>
            </w14:solidFill>
          </w14:textFill>
        </w:rPr>
        <w:t>25</w:t>
      </w:r>
      <w:r>
        <w:rPr>
          <w:color w:val="000000" w:themeColor="text1"/>
          <w14:textFill>
            <w14:solidFill>
              <w14:schemeClr w14:val="tx1"/>
            </w14:solidFill>
          </w14:textFill>
        </w:rPr>
        <w:t>年开始标准的起草工作，首先</w:t>
      </w:r>
      <w:r>
        <w:rPr>
          <w:rFonts w:hint="eastAsia"/>
          <w:color w:val="000000" w:themeColor="text1"/>
          <w14:textFill>
            <w14:solidFill>
              <w14:schemeClr w14:val="tx1"/>
            </w14:solidFill>
          </w14:textFill>
        </w:rPr>
        <w:t>起草组</w:t>
      </w:r>
      <w:r>
        <w:rPr>
          <w:color w:val="000000" w:themeColor="text1"/>
          <w14:textFill>
            <w14:solidFill>
              <w14:schemeClr w14:val="tx1"/>
            </w14:solidFill>
          </w14:textFill>
        </w:rPr>
        <w:t>搜集、整理了国内外</w:t>
      </w:r>
      <w:r>
        <w:rPr>
          <w:rFonts w:hint="eastAsia"/>
          <w:color w:val="000000" w:themeColor="text1"/>
          <w14:textFill>
            <w14:solidFill>
              <w14:schemeClr w14:val="tx1"/>
            </w14:solidFill>
          </w14:textFill>
        </w:rPr>
        <w:t>铝合金压铸</w:t>
      </w:r>
      <w:r>
        <w:rPr>
          <w:color w:val="000000" w:themeColor="text1"/>
          <w14:textFill>
            <w14:solidFill>
              <w14:schemeClr w14:val="tx1"/>
            </w14:solidFill>
          </w14:textFill>
        </w:rPr>
        <w:t>生产能源消耗相关政策、标准、论文等文献资料。在对相关文献分析总结的基础上，确定了标准的主体框架。</w:t>
      </w:r>
    </w:p>
    <w:p w14:paraId="3DCFFD71">
      <w:pPr>
        <w:pStyle w:val="24"/>
        <w:spacing w:line="360" w:lineRule="auto"/>
        <w:ind w:firstLine="420"/>
        <w:rPr>
          <w:rFonts w:hint="eastAsia"/>
          <w:color w:val="000000" w:themeColor="text1"/>
          <w14:textFill>
            <w14:solidFill>
              <w14:schemeClr w14:val="tx1"/>
            </w14:solidFill>
          </w14:textFill>
        </w:rPr>
      </w:pPr>
      <w:bookmarkStart w:id="4" w:name="OLE_LINK16"/>
      <w:r>
        <w:rPr>
          <w:rFonts w:hint="eastAsia"/>
          <w:color w:val="000000" w:themeColor="text1"/>
          <w14:textFill>
            <w14:solidFill>
              <w14:schemeClr w14:val="tx1"/>
            </w14:solidFill>
          </w14:textFill>
        </w:rPr>
        <w:t>为了更好地了解铸造用生铁企业的能源消耗及能源管理现状，起草组对30家铸造用生铁进行了企业问卷调研，对其中10家企业进行现场调研。30家企业中高炉200m3以下、200-300m3、300m3以上企业数量均为10家。现场调研企业类型主要选取数据相对详实、企业全年正常生产的企业，同时兼顾有、无球团工序企业，短流程铸造的企业。</w:t>
      </w:r>
    </w:p>
    <w:bookmarkEnd w:id="4"/>
    <w:p w14:paraId="78084E43">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根据企业现场调研和问卷调研取得的信息，标准起草工作组按照国家标准编写的有关要求，编写了标准草案稿。2025年6月～7月工作组对调研所得的数据进行整理、分析和研究，并咨询相关专家的意见初步确定了标准的结构和各项指标值。2025年10月，工作组在线上召开标准研讨会，</w:t>
      </w:r>
      <w:r>
        <w:rPr>
          <w:color w:val="000000" w:themeColor="text1"/>
          <w14:textFill>
            <w14:solidFill>
              <w14:schemeClr w14:val="tx1"/>
            </w14:solidFill>
          </w14:textFill>
        </w:rPr>
        <w:t>根据专家意见对标准的部分内容进行修改和调整，形成本标准征求意见稿。</w:t>
      </w:r>
    </w:p>
    <w:p w14:paraId="044B84D0">
      <w:pPr>
        <w:pStyle w:val="24"/>
        <w:spacing w:line="360" w:lineRule="auto"/>
        <w:ind w:firstLine="420"/>
        <w:rPr>
          <w:rFonts w:hint="eastAsia"/>
          <w:color w:val="000000" w:themeColor="text1"/>
          <w14:textFill>
            <w14:solidFill>
              <w14:schemeClr w14:val="tx1"/>
            </w14:solidFill>
          </w14:textFill>
        </w:rPr>
      </w:pPr>
    </w:p>
    <w:p w14:paraId="0C2A722F">
      <w:pPr>
        <w:pStyle w:val="18"/>
        <w:numPr>
          <w:ilvl w:val="0"/>
          <w:numId w:val="2"/>
        </w:numPr>
        <w:spacing w:before="156" w:beforeLines="50" w:after="156" w:afterLines="50" w:line="360" w:lineRule="auto"/>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标准编制原则和主要内容</w:t>
      </w:r>
    </w:p>
    <w:p w14:paraId="536B36EF">
      <w:pPr>
        <w:pStyle w:val="18"/>
        <w:numPr>
          <w:ilvl w:val="0"/>
          <w:numId w:val="3"/>
        </w:numPr>
        <w:spacing w:before="156" w:beforeLines="50" w:after="156" w:afterLines="50" w:line="360" w:lineRule="auto"/>
        <w:ind w:firstLineChars="0"/>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编制原则</w:t>
      </w:r>
    </w:p>
    <w:p w14:paraId="53276210">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本标准依据GB/T 1.1-2020《标准化工作导则第1部分：标准的结构和编写》的要求编写，本标准的编写主要遵循以下原则</w:t>
      </w:r>
    </w:p>
    <w:p w14:paraId="28E9E797">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科学性： 以大量实地调研数据和理论计算为基础，确保能耗统计边界清晰、计算方法准确，能科学反映行业实际能耗水平。</w:t>
      </w:r>
    </w:p>
    <w:p w14:paraId="30665549">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先进性： 等级指标参考国内外领先企业的能效实践，设置分级指标，引导企业淘汰落后、采用先进技术和装备。</w:t>
      </w:r>
    </w:p>
    <w:p w14:paraId="60E2ABA8">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可操作性： 计算方法与企业现有能源统计和计量体系相衔接，数据易获取、易核算，便于企业自评和第三方核查。</w:t>
      </w:r>
    </w:p>
    <w:p w14:paraId="72E03993">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差异性： 充分考虑产品结构、生产工艺的复杂性，设置分级、分类的等级指标，确保公平合理。</w:t>
      </w:r>
    </w:p>
    <w:p w14:paraId="1F0DABAC">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引导性： 设立三级指标，为企业提供清晰的能效提升路径。</w:t>
      </w:r>
    </w:p>
    <w:p w14:paraId="6A7FB548">
      <w:pPr>
        <w:pStyle w:val="18"/>
        <w:numPr>
          <w:ilvl w:val="0"/>
          <w:numId w:val="3"/>
        </w:numPr>
        <w:spacing w:before="156" w:beforeLines="50" w:after="156" w:afterLines="50" w:line="360" w:lineRule="auto"/>
        <w:ind w:firstLineChars="0"/>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标准主要内容及其确定依据</w:t>
      </w:r>
    </w:p>
    <w:p w14:paraId="405A7627">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1）标准范围的确定</w:t>
      </w:r>
    </w:p>
    <w:p w14:paraId="148693A4">
      <w:pPr>
        <w:pStyle w:val="24"/>
        <w:spacing w:line="360" w:lineRule="auto"/>
        <w:ind w:firstLine="420"/>
        <w:rPr>
          <w:rFonts w:hint="eastAsia"/>
          <w:color w:val="000000" w:themeColor="text1"/>
          <w14:textFill>
            <w14:solidFill>
              <w14:schemeClr w14:val="tx1"/>
            </w14:solidFill>
          </w14:textFill>
        </w:rPr>
      </w:pPr>
      <w:r>
        <w:rPr>
          <w:color w:val="000000" w:themeColor="text1"/>
          <w14:textFill>
            <w14:solidFill>
              <w14:schemeClr w14:val="tx1"/>
            </w14:solidFill>
          </w14:textFill>
        </w:rPr>
        <w:t>铸造用生铁生产</w:t>
      </w:r>
      <w:r>
        <w:rPr>
          <w:rFonts w:hint="eastAsia"/>
          <w:color w:val="000000" w:themeColor="text1"/>
          <w14:textFill>
            <w14:solidFill>
              <w14:schemeClr w14:val="tx1"/>
            </w14:solidFill>
          </w14:textFill>
        </w:rPr>
        <w:t>企业为炼铁企业，其炼铁工序主要装备原则上与钢铁企业相同，故本标准范围参考《</w:t>
      </w:r>
      <w:r>
        <w:rPr>
          <w:color w:val="000000" w:themeColor="text1"/>
          <w14:textFill>
            <w14:solidFill>
              <w14:schemeClr w14:val="tx1"/>
            </w14:solidFill>
          </w14:textFill>
        </w:rPr>
        <w:t>粗钢生产主要工序单位产品能源消耗限额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GB 21256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规定了</w:t>
      </w:r>
      <w:r>
        <w:rPr>
          <w:rFonts w:hint="eastAsia"/>
          <w:color w:val="000000" w:themeColor="text1"/>
          <w14:textFill>
            <w14:solidFill>
              <w14:schemeClr w14:val="tx1"/>
            </w14:solidFill>
          </w14:textFill>
        </w:rPr>
        <w:t>铸造生铁</w:t>
      </w:r>
      <w:r>
        <w:rPr>
          <w:color w:val="000000" w:themeColor="text1"/>
          <w14:textFill>
            <w14:solidFill>
              <w14:schemeClr w14:val="tx1"/>
            </w14:solidFill>
          </w14:textFill>
        </w:rPr>
        <w:t>生产主要工序单位产品能源消耗(以下简称单位产品能耗)</w:t>
      </w:r>
      <w:r>
        <w:rPr>
          <w:rFonts w:hint="eastAsia"/>
          <w:color w:val="000000" w:themeColor="text1"/>
          <w14:textFill>
            <w14:solidFill>
              <w14:schemeClr w14:val="tx1"/>
            </w14:solidFill>
          </w14:textFill>
        </w:rPr>
        <w:t xml:space="preserve"> 的统计范围、能耗等级、计量及标准煤折算要求、计算方法和达标判定，主要工序为</w:t>
      </w:r>
      <w:r>
        <w:rPr>
          <w:color w:val="000000" w:themeColor="text1"/>
          <w14:textFill>
            <w14:solidFill>
              <w14:schemeClr w14:val="tx1"/>
            </w14:solidFill>
          </w14:textFill>
        </w:rPr>
        <w:t>烧结工序、球团工序、高炉工序</w:t>
      </w:r>
      <w:r>
        <w:rPr>
          <w:rFonts w:hint="eastAsia"/>
          <w:color w:val="000000" w:themeColor="text1"/>
          <w14:textFill>
            <w14:solidFill>
              <w14:schemeClr w14:val="tx1"/>
            </w14:solidFill>
          </w14:textFill>
        </w:rPr>
        <w:t>。</w:t>
      </w:r>
    </w:p>
    <w:p w14:paraId="139BD50E">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2）主要内容的确定</w:t>
      </w:r>
    </w:p>
    <w:p w14:paraId="58A8C39F">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本标准主要参考</w:t>
      </w:r>
      <w:bookmarkStart w:id="5" w:name="OLE_LINK14"/>
      <w:r>
        <w:rPr>
          <w:rFonts w:hint="eastAsia"/>
          <w:color w:val="000000" w:themeColor="text1"/>
          <w14:textFill>
            <w14:solidFill>
              <w14:schemeClr w14:val="tx1"/>
            </w14:solidFill>
          </w14:textFill>
        </w:rPr>
        <w:t>《</w:t>
      </w:r>
      <w:r>
        <w:rPr>
          <w:color w:val="000000" w:themeColor="text1"/>
          <w14:textFill>
            <w14:solidFill>
              <w14:schemeClr w14:val="tx1"/>
            </w14:solidFill>
          </w14:textFill>
        </w:rPr>
        <w:t>粗钢生产主要工序单位产品能源消耗限额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GB 21256</w:t>
      </w:r>
      <w:r>
        <w:rPr>
          <w:rFonts w:hint="eastAsia"/>
          <w:color w:val="000000" w:themeColor="text1"/>
          <w14:textFill>
            <w14:solidFill>
              <w14:schemeClr w14:val="tx1"/>
            </w14:solidFill>
          </w14:textFill>
        </w:rPr>
        <w:t>）</w:t>
      </w:r>
      <w:bookmarkEnd w:id="5"/>
      <w:r>
        <w:rPr>
          <w:rFonts w:hint="eastAsia"/>
          <w:color w:val="000000" w:themeColor="text1"/>
          <w14:textFill>
            <w14:solidFill>
              <w14:schemeClr w14:val="tx1"/>
            </w14:solidFill>
          </w14:textFill>
        </w:rPr>
        <w:t>和GB/T 12723 《单位产品能源消耗限额编制通则》。本标准针对主要耗能工序同时给出分级指标，以便于企业有针对性的对标达标，节能减排。重点工序参考《</w:t>
      </w:r>
      <w:r>
        <w:rPr>
          <w:color w:val="000000" w:themeColor="text1"/>
          <w14:textFill>
            <w14:solidFill>
              <w14:schemeClr w14:val="tx1"/>
            </w14:solidFill>
          </w14:textFill>
        </w:rPr>
        <w:t>粗钢生产主要工序单位产品能源消耗限额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GB 21256</w:t>
      </w:r>
      <w:r>
        <w:rPr>
          <w:rFonts w:hint="eastAsia"/>
          <w:color w:val="000000" w:themeColor="text1"/>
          <w14:textFill>
            <w14:solidFill>
              <w14:schemeClr w14:val="tx1"/>
            </w14:solidFill>
          </w14:textFill>
        </w:rPr>
        <w:t>）标准确定为</w:t>
      </w:r>
      <w:r>
        <w:rPr>
          <w:color w:val="000000" w:themeColor="text1"/>
          <w14:textFill>
            <w14:solidFill>
              <w14:schemeClr w14:val="tx1"/>
            </w14:solidFill>
          </w14:textFill>
        </w:rPr>
        <w:t>烧结工序、球团工序、高炉工序</w:t>
      </w:r>
      <w:r>
        <w:rPr>
          <w:rFonts w:hint="eastAsia"/>
          <w:color w:val="000000" w:themeColor="text1"/>
          <w14:textFill>
            <w14:solidFill>
              <w14:schemeClr w14:val="tx1"/>
            </w14:solidFill>
          </w14:textFill>
        </w:rPr>
        <w:t>。</w:t>
      </w:r>
    </w:p>
    <w:p w14:paraId="6AD8A168">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3）重要技术指标的确定</w:t>
      </w:r>
    </w:p>
    <w:p w14:paraId="13B4F970">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本标准有3个核心技术指标：即</w:t>
      </w:r>
      <w:r>
        <w:rPr>
          <w:color w:val="000000" w:themeColor="text1"/>
          <w14:textFill>
            <w14:solidFill>
              <w14:schemeClr w14:val="tx1"/>
            </w14:solidFill>
          </w14:textFill>
        </w:rPr>
        <w:t>烧结工序</w:t>
      </w:r>
      <w:r>
        <w:rPr>
          <w:rFonts w:hint="eastAsia"/>
          <w:color w:val="000000" w:themeColor="text1"/>
          <w14:textFill>
            <w14:solidFill>
              <w14:schemeClr w14:val="tx1"/>
            </w14:solidFill>
          </w14:textFill>
        </w:rPr>
        <w:t>单位产品能耗指标，</w:t>
      </w:r>
      <w:r>
        <w:rPr>
          <w:color w:val="000000" w:themeColor="text1"/>
          <w14:textFill>
            <w14:solidFill>
              <w14:schemeClr w14:val="tx1"/>
            </w14:solidFill>
          </w14:textFill>
        </w:rPr>
        <w:t>球团工序</w:t>
      </w:r>
      <w:r>
        <w:rPr>
          <w:rFonts w:hint="eastAsia"/>
          <w:color w:val="000000" w:themeColor="text1"/>
          <w14:textFill>
            <w14:solidFill>
              <w14:schemeClr w14:val="tx1"/>
            </w14:solidFill>
          </w14:textFill>
        </w:rPr>
        <w:t>单位产品能耗指标，和</w:t>
      </w:r>
      <w:r>
        <w:rPr>
          <w:color w:val="000000" w:themeColor="text1"/>
          <w14:textFill>
            <w14:solidFill>
              <w14:schemeClr w14:val="tx1"/>
            </w14:solidFill>
          </w14:textFill>
        </w:rPr>
        <w:t>高炉工序</w:t>
      </w:r>
      <w:r>
        <w:rPr>
          <w:rFonts w:hint="eastAsia"/>
          <w:color w:val="000000" w:themeColor="text1"/>
          <w14:textFill>
            <w14:solidFill>
              <w14:schemeClr w14:val="tx1"/>
            </w14:solidFill>
          </w14:textFill>
        </w:rPr>
        <w:t>单位产品能耗指标。</w:t>
      </w:r>
    </w:p>
    <w:p w14:paraId="74A55384">
      <w:pPr>
        <w:pStyle w:val="24"/>
        <w:spacing w:line="360" w:lineRule="auto"/>
        <w:ind w:firstLine="422"/>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能耗计量统计周期：</w:t>
      </w:r>
      <w:r>
        <w:rPr>
          <w:rFonts w:hint="eastAsia"/>
          <w:color w:val="000000" w:themeColor="text1"/>
          <w14:textFill>
            <w14:solidFill>
              <w14:schemeClr w14:val="tx1"/>
            </w14:solidFill>
          </w14:textFill>
        </w:rPr>
        <w:t>经调研，铸造用生铁企业由于生产任务不同，导致生产节拍不同，生产负荷对能耗影响较大，满负荷生产的铸造用生铁企业较最低生产效率生产时，高炉和烧结工序单位产品综合能耗约低20%。停炉检修次数、炉况稳定性、临时停产等对工序单位产品影响均较大，鉴于以年为单位计算，停炉次数相对一致，经综合考虑，本标准采用年平均值作为能耗指标对比值。</w:t>
      </w:r>
    </w:p>
    <w:p w14:paraId="32EF12B8">
      <w:pPr>
        <w:pStyle w:val="24"/>
        <w:spacing w:line="360" w:lineRule="auto"/>
        <w:ind w:firstLine="422"/>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不同类型铸造用生铁企业对于本标准的适用性</w:t>
      </w:r>
      <w:r>
        <w:rPr>
          <w:rFonts w:hint="eastAsia"/>
          <w:color w:val="000000" w:themeColor="text1"/>
          <w14:textFill>
            <w14:solidFill>
              <w14:schemeClr w14:val="tx1"/>
            </w14:solidFill>
          </w14:textFill>
        </w:rPr>
        <w:t>：我国铸造用生铁企业按照烧结、球团、高炉三个主要生产工序情况可主要分为三类，①同时有烧结、球团、高炉工序，该类企业大多为</w:t>
      </w:r>
      <w:bookmarkStart w:id="6" w:name="OLE_LINK13"/>
      <w:r>
        <w:rPr>
          <w:rFonts w:hint="eastAsia"/>
          <w:color w:val="000000" w:themeColor="text1"/>
          <w14:textFill>
            <w14:solidFill>
              <w14:schemeClr w14:val="tx1"/>
            </w14:solidFill>
          </w14:textFill>
        </w:rPr>
        <w:t>300m3</w:t>
      </w:r>
      <w:bookmarkEnd w:id="6"/>
      <w:r>
        <w:rPr>
          <w:rFonts w:hint="eastAsia"/>
          <w:color w:val="000000" w:themeColor="text1"/>
          <w14:textFill>
            <w14:solidFill>
              <w14:schemeClr w14:val="tx1"/>
            </w14:solidFill>
          </w14:textFill>
        </w:rPr>
        <w:t>以上高炉企业；②同时有烧结和高炉工序，外购球团矿或不用球团矿，该类企业大多为300m3以下高炉企业；③仅有高炉工序，直接采用铁精粉、废钢、球团矿等材料熔炼，该类企业占比极少。</w:t>
      </w:r>
    </w:p>
    <w:p w14:paraId="48CCA2DA">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本标准在编制过程中已考虑到相关企业原材料重点成分区别导致的能耗变化，在给表的注解中给出了相应指标说明。故本标准适用于所有铸造用生铁企业。</w:t>
      </w:r>
    </w:p>
    <w:p w14:paraId="62E13428">
      <w:pPr>
        <w:pStyle w:val="24"/>
        <w:spacing w:line="360" w:lineRule="auto"/>
        <w:ind w:firstLine="422"/>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环保指标对能耗影响：</w:t>
      </w:r>
      <w:r>
        <w:rPr>
          <w:rFonts w:hint="eastAsia"/>
          <w:color w:val="000000" w:themeColor="text1"/>
          <w14:textFill>
            <w14:solidFill>
              <w14:schemeClr w14:val="tx1"/>
            </w14:solidFill>
          </w14:textFill>
        </w:rPr>
        <w:t>本标准参考《</w:t>
      </w:r>
      <w:r>
        <w:rPr>
          <w:color w:val="000000" w:themeColor="text1"/>
          <w14:textFill>
            <w14:solidFill>
              <w14:schemeClr w14:val="tx1"/>
            </w14:solidFill>
          </w14:textFill>
        </w:rPr>
        <w:t>粗钢生产主要工序单位产品能源消耗限额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GB 21256</w:t>
      </w:r>
      <w:r>
        <w:rPr>
          <w:rFonts w:hint="eastAsia"/>
          <w:color w:val="000000" w:themeColor="text1"/>
          <w14:textFill>
            <w14:solidFill>
              <w14:schemeClr w14:val="tx1"/>
            </w14:solidFill>
          </w14:textFill>
        </w:rPr>
        <w:t>）相关内容，明确环保达标要求，同时，考虑铸造用生铁超低排放改造能耗升高的问题。</w:t>
      </w:r>
    </w:p>
    <w:p w14:paraId="0DF801B1">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各成分对各工序能耗的影响因子：本标准主要参考《</w:t>
      </w:r>
      <w:r>
        <w:rPr>
          <w:color w:val="000000" w:themeColor="text1"/>
          <w14:textFill>
            <w14:solidFill>
              <w14:schemeClr w14:val="tx1"/>
            </w14:solidFill>
          </w14:textFill>
        </w:rPr>
        <w:t>粗钢生产主要工序单位产品能源消耗限额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GB 21256</w:t>
      </w:r>
      <w:r>
        <w:rPr>
          <w:rFonts w:hint="eastAsia"/>
          <w:color w:val="000000" w:themeColor="text1"/>
          <w14:textFill>
            <w14:solidFill>
              <w14:schemeClr w14:val="tx1"/>
            </w14:solidFill>
          </w14:textFill>
        </w:rPr>
        <w:t>）相关内容，结合企业实际情况，给出入炉品位、稀土矿用量、褐铁矿用量、磁铁矿用量等影响因子。同时，针对铸造生铁硅含量高，而硅含量对能耗有直接影响的情况，本标准给出了硅含量的影响因子，相关数据来源于行业经验数据和文献。</w:t>
      </w:r>
    </w:p>
    <w:p w14:paraId="50F2F76E">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同时，针对铸造生铁硅含量高，而硅含量对能耗有直接影响的情况，本标准给出了硅含量的影响因子，相关数据来源于行业经验数据和文献。</w:t>
      </w:r>
    </w:p>
    <w:p w14:paraId="140B20D6">
      <w:pPr>
        <w:pStyle w:val="24"/>
        <w:spacing w:line="360" w:lineRule="auto"/>
        <w:ind w:firstLine="422"/>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烧结工序：</w:t>
      </w:r>
      <w:r>
        <w:rPr>
          <w:rFonts w:hint="eastAsia"/>
          <w:color w:val="000000" w:themeColor="text1"/>
          <w14:textFill>
            <w14:solidFill>
              <w14:schemeClr w14:val="tx1"/>
            </w14:solidFill>
          </w14:textFill>
        </w:rPr>
        <w:t>稀土矿因子参考GB 21256-2025中4.1.2；钒钛磁铁矿因子参考GB 21256-2025中4.1.3；褐铁矿因子参考T/CISA 293-2022表2；超低排放因子是结合多家铸造用生铁企业超低排改造前后能耗数据给出，考虑到铸造用生铁企业超低排改造基数小，数据确定过程中参考了钢铁高低排放改造前后能耗数据。</w:t>
      </w:r>
    </w:p>
    <w:p w14:paraId="1167AA0A">
      <w:pPr>
        <w:pStyle w:val="24"/>
        <w:spacing w:line="360" w:lineRule="auto"/>
        <w:ind w:firstLine="422"/>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高炉工序：</w:t>
      </w:r>
      <w:r>
        <w:rPr>
          <w:rFonts w:hint="eastAsia"/>
          <w:color w:val="000000" w:themeColor="text1"/>
          <w14:textFill>
            <w14:solidFill>
              <w14:schemeClr w14:val="tx1"/>
            </w14:solidFill>
          </w14:textFill>
        </w:rPr>
        <w:t>稀土矿因子参考</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21256-2025</w:t>
      </w:r>
      <w:r>
        <w:rPr>
          <w:rFonts w:hint="eastAsia"/>
          <w:color w:val="000000" w:themeColor="text1"/>
          <w14:textFill>
            <w14:solidFill>
              <w14:schemeClr w14:val="tx1"/>
            </w14:solidFill>
          </w14:textFill>
        </w:rPr>
        <w:t>中4.3.2；钒钛磁铁矿因子参考GB 21256-2025中4.3.3；入炉品位因子参考</w:t>
      </w:r>
      <w:r>
        <w:rPr>
          <w:color w:val="000000" w:themeColor="text1"/>
          <w14:textFill>
            <w14:solidFill>
              <w14:schemeClr w14:val="tx1"/>
            </w14:solidFill>
          </w14:textFill>
        </w:rPr>
        <w:t>GB 21256-2025</w:t>
      </w:r>
      <w:r>
        <w:rPr>
          <w:rFonts w:hint="eastAsia"/>
          <w:color w:val="000000" w:themeColor="text1"/>
          <w14:textFill>
            <w14:solidFill>
              <w14:schemeClr w14:val="tx1"/>
            </w14:solidFill>
          </w14:textFill>
        </w:rPr>
        <w:t>中4.3.5；超低排放因子是结合多家铸造用生铁企业超低排改造前后能耗数据给出，考虑到铸造用生铁企业超低排改造基数小，数据确定过程中参考了钢铁高低排放改造前后能耗数据；硅含量因子是针对铸造用生铁硅含量普遍较高，而硅含量对能耗有明显影响的特点专门给出的影响因子，工作组调研了多家企业多年生产球铁用生铁、灰铁用生铁及高纯生铁实际能耗数据，分析硅含量差值与能耗差值，结合专业文献，综合给出了因子参数。</w:t>
      </w:r>
    </w:p>
    <w:p w14:paraId="137F5BE6">
      <w:pPr>
        <w:pStyle w:val="24"/>
        <w:spacing w:line="360" w:lineRule="auto"/>
        <w:ind w:firstLine="422"/>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指标等级：</w:t>
      </w:r>
      <w:r>
        <w:rPr>
          <w:rFonts w:hint="eastAsia"/>
          <w:color w:val="000000" w:themeColor="text1"/>
          <w14:textFill>
            <w14:solidFill>
              <w14:schemeClr w14:val="tx1"/>
            </w14:solidFill>
          </w14:textFill>
        </w:rPr>
        <w:t>本标准针对主要耗能工序给出能耗指标值，数据来源于企业现场调研和企业问卷调研，经过统计、分析、处理以及征求相关专家的意见，对比</w:t>
      </w:r>
      <w:bookmarkStart w:id="7" w:name="OLE_LINK15"/>
      <w:r>
        <w:rPr>
          <w:rFonts w:hint="eastAsia"/>
          <w:color w:val="000000" w:themeColor="text1"/>
          <w14:textFill>
            <w14:solidFill>
              <w14:schemeClr w14:val="tx1"/>
            </w14:solidFill>
          </w14:textFill>
        </w:rPr>
        <w:t>《</w:t>
      </w:r>
      <w:r>
        <w:rPr>
          <w:color w:val="000000" w:themeColor="text1"/>
          <w14:textFill>
            <w14:solidFill>
              <w14:schemeClr w14:val="tx1"/>
            </w14:solidFill>
          </w14:textFill>
        </w:rPr>
        <w:t>粗钢生产主要工序单位产品能源消耗限额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GB 21256</w:t>
      </w:r>
      <w:r>
        <w:rPr>
          <w:rFonts w:hint="eastAsia"/>
          <w:color w:val="000000" w:themeColor="text1"/>
          <w14:textFill>
            <w14:solidFill>
              <w14:schemeClr w14:val="tx1"/>
            </w14:solidFill>
          </w14:textFill>
        </w:rPr>
        <w:t>）</w:t>
      </w:r>
      <w:bookmarkEnd w:id="7"/>
      <w:r>
        <w:rPr>
          <w:rFonts w:hint="eastAsia"/>
          <w:color w:val="000000" w:themeColor="text1"/>
          <w14:textFill>
            <w14:solidFill>
              <w14:schemeClr w14:val="tx1"/>
            </w14:solidFill>
          </w14:textFill>
        </w:rPr>
        <w:t>和现有节能技术，最终确定相应的数值。其中，充分考虑</w:t>
      </w:r>
      <w:r>
        <w:rPr>
          <w:color w:val="000000" w:themeColor="text1"/>
          <w14:textFill>
            <w14:solidFill>
              <w14:schemeClr w14:val="tx1"/>
            </w14:solidFill>
          </w14:textFill>
        </w:rPr>
        <w:t>国家发展改革委2023年12月修订发布《产业结构调整指导目录（2024年本）》</w:t>
      </w:r>
      <w:r>
        <w:rPr>
          <w:rFonts w:hint="eastAsia"/>
          <w:color w:val="000000" w:themeColor="text1"/>
          <w14:textFill>
            <w14:solidFill>
              <w14:schemeClr w14:val="tx1"/>
            </w14:solidFill>
          </w14:textFill>
        </w:rPr>
        <w:t>相关要求和铸造用生铁行业产能严重过剩导致大量企业停产现状，3级应淘汰约20%的落后生产力，2级推动能耗情况中等的30%-50%企业整改提升，1级指标树立行业标杆值。</w:t>
      </w:r>
    </w:p>
    <w:p w14:paraId="49D7B00E">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基于以上原则，确定本标准的指标值见表1-表3。</w:t>
      </w:r>
    </w:p>
    <w:p w14:paraId="5CA6D2BE">
      <w:pPr>
        <w:pStyle w:val="21"/>
        <w:spacing w:before="156" w:after="156"/>
      </w:pPr>
      <w:r>
        <w:rPr>
          <w:rFonts w:hint="eastAsia" w:hAnsi="黑体" w:cs="黑体"/>
          <w:szCs w:val="21"/>
        </w:rPr>
        <w:t>铸造用生铁生产烧结工序单位产品能耗等级</w:t>
      </w:r>
    </w:p>
    <w:p w14:paraId="06EF97FF">
      <w:pPr>
        <w:pStyle w:val="26"/>
        <w:wordWrap w:val="0"/>
        <w:ind w:firstLine="360"/>
        <w:jc w:val="right"/>
      </w:pPr>
      <w:r>
        <w:rPr>
          <w:rFonts w:hint="eastAsia" w:hAnsi="黑体" w:cs="黑体"/>
          <w:sz w:val="18"/>
          <w:szCs w:val="18"/>
        </w:rPr>
        <w:t>单位为</w:t>
      </w:r>
      <w:r>
        <w:rPr>
          <w:rFonts w:hAnsi="黑体" w:cs="黑体"/>
          <w:sz w:val="18"/>
          <w:szCs w:val="18"/>
        </w:rPr>
        <w:t>kgce/t</w:t>
      </w:r>
      <w:r>
        <w:rPr>
          <w:rFonts w:hint="eastAsia" w:hAnsi="黑体" w:cs="黑体"/>
          <w:szCs w:val="21"/>
        </w:rPr>
        <w:t xml:space="preserve"> </w:t>
      </w:r>
    </w:p>
    <w:tbl>
      <w:tblPr>
        <w:tblStyle w:val="9"/>
        <w:tblW w:w="910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49"/>
        <w:gridCol w:w="1984"/>
        <w:gridCol w:w="1984"/>
        <w:gridCol w:w="1985"/>
      </w:tblGrid>
      <w:tr w14:paraId="7B2E9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149" w:type="dxa"/>
            <w:vMerge w:val="restart"/>
            <w:vAlign w:val="center"/>
          </w:tcPr>
          <w:p w14:paraId="30A6C45D">
            <w:pPr>
              <w:pStyle w:val="29"/>
              <w:jc w:val="center"/>
              <w:rPr>
                <w:rFonts w:ascii="Times New Roman" w:hAnsi="Times New Roman"/>
                <w:sz w:val="18"/>
                <w:szCs w:val="18"/>
                <w:lang w:eastAsia="zh-CN"/>
              </w:rPr>
            </w:pPr>
            <w:r>
              <w:rPr>
                <w:rFonts w:hint="eastAsia" w:ascii="Times New Roman" w:hAnsi="Times New Roman"/>
                <w:sz w:val="18"/>
                <w:szCs w:val="18"/>
                <w:lang w:eastAsia="zh-CN"/>
              </w:rPr>
              <w:t>工序名称</w:t>
            </w:r>
          </w:p>
        </w:tc>
        <w:tc>
          <w:tcPr>
            <w:tcW w:w="5953" w:type="dxa"/>
            <w:gridSpan w:val="3"/>
            <w:vAlign w:val="center"/>
          </w:tcPr>
          <w:p w14:paraId="08C7FC81">
            <w:pPr>
              <w:pStyle w:val="29"/>
              <w:jc w:val="center"/>
              <w:rPr>
                <w:rFonts w:ascii="Times New Roman" w:hAnsi="Times New Roman"/>
                <w:sz w:val="18"/>
                <w:szCs w:val="18"/>
                <w:lang w:eastAsia="zh-CN"/>
              </w:rPr>
            </w:pPr>
            <w:r>
              <w:rPr>
                <w:rFonts w:hint="eastAsia" w:ascii="Times New Roman" w:hAnsi="Times New Roman"/>
                <w:sz w:val="18"/>
                <w:szCs w:val="18"/>
                <w:lang w:eastAsia="zh-CN"/>
              </w:rPr>
              <w:t>能耗等级</w:t>
            </w:r>
          </w:p>
        </w:tc>
      </w:tr>
      <w:tr w14:paraId="19EE2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149" w:type="dxa"/>
            <w:vMerge w:val="continue"/>
            <w:vAlign w:val="center"/>
          </w:tcPr>
          <w:p w14:paraId="45599B24">
            <w:pPr>
              <w:pStyle w:val="29"/>
              <w:jc w:val="center"/>
              <w:rPr>
                <w:rFonts w:ascii="Times New Roman" w:hAnsi="Times New Roman"/>
                <w:sz w:val="18"/>
                <w:szCs w:val="18"/>
                <w:highlight w:val="cyan"/>
                <w:lang w:eastAsia="zh-CN"/>
              </w:rPr>
            </w:pPr>
          </w:p>
        </w:tc>
        <w:tc>
          <w:tcPr>
            <w:tcW w:w="1984" w:type="dxa"/>
            <w:vAlign w:val="center"/>
          </w:tcPr>
          <w:p w14:paraId="19A17CD6">
            <w:pPr>
              <w:pStyle w:val="29"/>
              <w:jc w:val="center"/>
              <w:rPr>
                <w:rFonts w:ascii="Times New Roman" w:hAnsi="Times New Roman"/>
                <w:sz w:val="18"/>
                <w:szCs w:val="18"/>
                <w:lang w:eastAsia="zh-CN"/>
              </w:rPr>
            </w:pPr>
            <w:r>
              <w:rPr>
                <w:rFonts w:ascii="Times New Roman" w:hAnsi="Times New Roman"/>
                <w:sz w:val="18"/>
                <w:szCs w:val="18"/>
                <w:lang w:eastAsia="zh-CN"/>
              </w:rPr>
              <w:t xml:space="preserve">1 </w:t>
            </w:r>
            <w:r>
              <w:rPr>
                <w:rFonts w:hint="eastAsia" w:ascii="Times New Roman" w:hAnsi="Times New Roman"/>
                <w:sz w:val="18"/>
                <w:szCs w:val="18"/>
                <w:lang w:eastAsia="zh-CN"/>
              </w:rPr>
              <w:t>级</w:t>
            </w:r>
          </w:p>
        </w:tc>
        <w:tc>
          <w:tcPr>
            <w:tcW w:w="1984" w:type="dxa"/>
            <w:vAlign w:val="center"/>
          </w:tcPr>
          <w:p w14:paraId="633EDF87">
            <w:pPr>
              <w:pStyle w:val="29"/>
              <w:jc w:val="center"/>
              <w:rPr>
                <w:rFonts w:ascii="Times New Roman" w:hAnsi="Times New Roman"/>
                <w:sz w:val="18"/>
                <w:szCs w:val="18"/>
                <w:lang w:eastAsia="zh-CN"/>
              </w:rPr>
            </w:pPr>
            <w:r>
              <w:rPr>
                <w:rFonts w:ascii="Times New Roman" w:hAnsi="Times New Roman"/>
                <w:sz w:val="18"/>
                <w:szCs w:val="18"/>
                <w:lang w:eastAsia="zh-CN"/>
              </w:rPr>
              <w:t xml:space="preserve">2 </w:t>
            </w:r>
            <w:r>
              <w:rPr>
                <w:rFonts w:hint="eastAsia" w:ascii="Times New Roman" w:hAnsi="Times New Roman"/>
                <w:sz w:val="18"/>
                <w:szCs w:val="18"/>
                <w:lang w:eastAsia="zh-CN"/>
              </w:rPr>
              <w:t>级</w:t>
            </w:r>
          </w:p>
        </w:tc>
        <w:tc>
          <w:tcPr>
            <w:tcW w:w="1985" w:type="dxa"/>
          </w:tcPr>
          <w:p w14:paraId="7E122A50">
            <w:pPr>
              <w:pStyle w:val="29"/>
              <w:jc w:val="center"/>
              <w:rPr>
                <w:rFonts w:ascii="Times New Roman" w:hAnsi="Times New Roman"/>
                <w:sz w:val="18"/>
                <w:szCs w:val="18"/>
                <w:lang w:eastAsia="zh-CN"/>
              </w:rPr>
            </w:pPr>
            <w:r>
              <w:rPr>
                <w:rFonts w:ascii="Times New Roman" w:hAnsi="Times New Roman"/>
                <w:sz w:val="18"/>
                <w:szCs w:val="18"/>
                <w:lang w:eastAsia="zh-CN"/>
              </w:rPr>
              <w:t xml:space="preserve">3 </w:t>
            </w:r>
            <w:r>
              <w:rPr>
                <w:rFonts w:hint="eastAsia" w:ascii="Times New Roman" w:hAnsi="Times New Roman"/>
                <w:sz w:val="18"/>
                <w:szCs w:val="18"/>
                <w:lang w:eastAsia="zh-CN"/>
              </w:rPr>
              <w:t>级</w:t>
            </w:r>
          </w:p>
        </w:tc>
      </w:tr>
      <w:tr w14:paraId="7559A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149" w:type="dxa"/>
            <w:vAlign w:val="center"/>
          </w:tcPr>
          <w:p w14:paraId="60F2E86C">
            <w:pPr>
              <w:pStyle w:val="29"/>
              <w:jc w:val="center"/>
              <w:rPr>
                <w:rFonts w:ascii="Times New Roman" w:hAnsi="Times New Roman"/>
                <w:sz w:val="18"/>
                <w:szCs w:val="18"/>
                <w:lang w:eastAsia="zh-CN"/>
              </w:rPr>
            </w:pPr>
            <w:r>
              <w:rPr>
                <w:rFonts w:hint="eastAsia" w:ascii="Times New Roman" w:hAnsi="Times New Roman"/>
                <w:sz w:val="18"/>
                <w:szCs w:val="18"/>
                <w:lang w:eastAsia="zh-CN"/>
              </w:rPr>
              <w:t>烧结工序</w:t>
            </w:r>
          </w:p>
        </w:tc>
        <w:tc>
          <w:tcPr>
            <w:tcW w:w="1984" w:type="dxa"/>
            <w:vAlign w:val="center"/>
          </w:tcPr>
          <w:p w14:paraId="61CB54E5">
            <w:pPr>
              <w:pStyle w:val="29"/>
              <w:jc w:val="center"/>
              <w:rPr>
                <w:rFonts w:ascii="Times New Roman" w:hAnsi="Times New Roman"/>
                <w:sz w:val="18"/>
                <w:szCs w:val="18"/>
                <w:lang w:eastAsia="zh-CN"/>
              </w:rPr>
            </w:pPr>
            <w:r>
              <w:rPr>
                <w:rFonts w:hint="eastAsia" w:ascii="Times New Roman" w:hAnsi="Times New Roman"/>
                <w:sz w:val="18"/>
                <w:szCs w:val="18"/>
                <w:lang w:eastAsia="zh-CN"/>
              </w:rPr>
              <w:t>≤</w:t>
            </w:r>
            <w:r>
              <w:rPr>
                <w:rFonts w:ascii="Times New Roman" w:hAnsi="Times New Roman"/>
                <w:sz w:val="18"/>
                <w:szCs w:val="18"/>
                <w:lang w:eastAsia="zh-CN"/>
              </w:rPr>
              <w:t>48</w:t>
            </w:r>
          </w:p>
        </w:tc>
        <w:tc>
          <w:tcPr>
            <w:tcW w:w="1984" w:type="dxa"/>
            <w:vAlign w:val="center"/>
          </w:tcPr>
          <w:p w14:paraId="5084B0FA">
            <w:pPr>
              <w:pStyle w:val="29"/>
              <w:jc w:val="center"/>
              <w:rPr>
                <w:rFonts w:ascii="Times New Roman" w:hAnsi="Times New Roman"/>
                <w:sz w:val="18"/>
                <w:szCs w:val="18"/>
                <w:lang w:eastAsia="zh-CN"/>
              </w:rPr>
            </w:pPr>
            <w:r>
              <w:rPr>
                <w:rFonts w:hint="eastAsia" w:ascii="Times New Roman" w:hAnsi="Times New Roman"/>
                <w:sz w:val="18"/>
                <w:szCs w:val="18"/>
                <w:lang w:eastAsia="zh-CN"/>
              </w:rPr>
              <w:t>≤</w:t>
            </w:r>
            <w:r>
              <w:rPr>
                <w:rFonts w:ascii="Times New Roman" w:hAnsi="Times New Roman"/>
                <w:sz w:val="18"/>
                <w:szCs w:val="18"/>
                <w:lang w:eastAsia="zh-CN"/>
              </w:rPr>
              <w:t>52</w:t>
            </w:r>
          </w:p>
        </w:tc>
        <w:tc>
          <w:tcPr>
            <w:tcW w:w="1985" w:type="dxa"/>
            <w:vAlign w:val="center"/>
          </w:tcPr>
          <w:p w14:paraId="0D865438">
            <w:pPr>
              <w:pStyle w:val="29"/>
              <w:jc w:val="center"/>
              <w:rPr>
                <w:rFonts w:ascii="Times New Roman" w:hAnsi="Times New Roman"/>
                <w:sz w:val="18"/>
                <w:szCs w:val="18"/>
                <w:lang w:eastAsia="zh-CN"/>
              </w:rPr>
            </w:pPr>
            <w:r>
              <w:rPr>
                <w:rFonts w:hint="eastAsia" w:ascii="Times New Roman" w:hAnsi="Times New Roman"/>
                <w:sz w:val="18"/>
                <w:szCs w:val="18"/>
                <w:lang w:eastAsia="zh-CN"/>
              </w:rPr>
              <w:t>≤</w:t>
            </w:r>
            <w:r>
              <w:rPr>
                <w:rFonts w:ascii="Times New Roman" w:hAnsi="Times New Roman"/>
                <w:sz w:val="18"/>
                <w:szCs w:val="18"/>
                <w:lang w:eastAsia="zh-CN"/>
              </w:rPr>
              <w:t>55</w:t>
            </w:r>
          </w:p>
        </w:tc>
      </w:tr>
      <w:tr w14:paraId="25494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2" w:hRule="exact"/>
          <w:jc w:val="center"/>
        </w:trPr>
        <w:tc>
          <w:tcPr>
            <w:tcW w:w="9102" w:type="dxa"/>
            <w:gridSpan w:val="4"/>
          </w:tcPr>
          <w:p w14:paraId="5DA49DF0">
            <w:pPr>
              <w:pStyle w:val="24"/>
              <w:autoSpaceDE/>
              <w:autoSpaceDN/>
              <w:ind w:firstLine="360"/>
              <w:jc w:val="left"/>
              <w:rPr>
                <w:rFonts w:hint="eastAsia" w:ascii="Times New Roman" w:eastAsiaTheme="minorEastAsia"/>
                <w:sz w:val="18"/>
                <w:szCs w:val="18"/>
              </w:rPr>
            </w:pPr>
            <w:r>
              <w:rPr>
                <w:rFonts w:ascii="黑体" w:hAnsi="黑体" w:eastAsia="黑体"/>
                <w:sz w:val="18"/>
                <w:szCs w:val="18"/>
              </w:rPr>
              <w:t>注1</w:t>
            </w:r>
            <w:r>
              <w:rPr>
                <w:rFonts w:hint="eastAsia" w:ascii="黑体" w:hAnsi="黑体" w:eastAsia="黑体"/>
                <w:sz w:val="18"/>
                <w:szCs w:val="18"/>
              </w:rPr>
              <w:t>：</w:t>
            </w:r>
            <w:r>
              <w:rPr>
                <w:rFonts w:hint="eastAsia"/>
                <w:sz w:val="18"/>
                <w:szCs w:val="18"/>
              </w:rPr>
              <w:t>电力折标系数采用当量值</w:t>
            </w:r>
            <w:r>
              <w:rPr>
                <w:rFonts w:hint="eastAsia" w:ascii="Times New Roman" w:eastAsiaTheme="minorEastAsia"/>
                <w:sz w:val="18"/>
                <w:szCs w:val="18"/>
              </w:rPr>
              <w:t xml:space="preserve"> </w:t>
            </w:r>
            <w:r>
              <w:rPr>
                <w:rFonts w:ascii="Times New Roman" w:eastAsiaTheme="minorEastAsia"/>
                <w:sz w:val="18"/>
                <w:szCs w:val="18"/>
              </w:rPr>
              <w:t>0.1229 kgce/kWh</w:t>
            </w:r>
            <w:r>
              <w:rPr>
                <w:rFonts w:hint="eastAsia" w:ascii="Times New Roman" w:eastAsiaTheme="minorEastAsia"/>
                <w:sz w:val="18"/>
                <w:szCs w:val="18"/>
              </w:rPr>
              <w:t>。</w:t>
            </w:r>
          </w:p>
          <w:p w14:paraId="0F4BECC3">
            <w:pPr>
              <w:pStyle w:val="29"/>
              <w:ind w:firstLine="360" w:firstLineChars="200"/>
              <w:rPr>
                <w:rFonts w:ascii="Times New Roman" w:hAnsi="Times New Roman" w:eastAsiaTheme="minorEastAsia"/>
                <w:kern w:val="2"/>
                <w:sz w:val="18"/>
                <w:szCs w:val="18"/>
                <w:lang w:eastAsia="zh-CN"/>
              </w:rPr>
            </w:pPr>
            <w:r>
              <w:rPr>
                <w:rFonts w:hint="eastAsia" w:ascii="黑体" w:hAnsi="黑体" w:eastAsia="黑体"/>
                <w:sz w:val="18"/>
                <w:szCs w:val="18"/>
                <w:lang w:eastAsia="zh-CN"/>
              </w:rPr>
              <w:t>注</w:t>
            </w:r>
            <w:r>
              <w:rPr>
                <w:rFonts w:ascii="黑体" w:hAnsi="黑体" w:eastAsia="黑体"/>
                <w:sz w:val="18"/>
                <w:szCs w:val="18"/>
                <w:lang w:eastAsia="zh-CN"/>
              </w:rPr>
              <w:t>2</w:t>
            </w:r>
            <w:r>
              <w:rPr>
                <w:rFonts w:hint="eastAsia" w:ascii="黑体" w:hAnsi="黑体" w:eastAsia="黑体"/>
                <w:sz w:val="18"/>
                <w:szCs w:val="18"/>
                <w:lang w:eastAsia="zh-CN"/>
              </w:rPr>
              <w:t>：</w:t>
            </w:r>
            <w:r>
              <w:rPr>
                <w:rFonts w:hint="eastAsia" w:ascii="宋体" w:hAnsi="宋体"/>
                <w:sz w:val="18"/>
                <w:szCs w:val="18"/>
                <w:lang w:eastAsia="zh-CN"/>
              </w:rPr>
              <w:t>烧结工艺以配备烧结烟气脱硫装置且污染物排放达到国家环保排放</w:t>
            </w:r>
            <w:r>
              <w:rPr>
                <w:rFonts w:hint="eastAsia" w:ascii="Times New Roman" w:hAnsi="Times New Roman"/>
                <w:sz w:val="18"/>
                <w:szCs w:val="18"/>
                <w:lang w:eastAsia="zh-CN"/>
              </w:rPr>
              <w:t>标准</w:t>
            </w:r>
            <w:r>
              <w:rPr>
                <w:rFonts w:ascii="Times New Roman" w:hAnsi="Times New Roman"/>
                <w:sz w:val="18"/>
                <w:szCs w:val="18"/>
                <w:lang w:eastAsia="zh-CN"/>
              </w:rPr>
              <w:t xml:space="preserve">GB 28662 </w:t>
            </w:r>
            <w:r>
              <w:rPr>
                <w:rFonts w:hint="eastAsia" w:ascii="宋体" w:hAnsi="宋体"/>
                <w:sz w:val="18"/>
                <w:szCs w:val="18"/>
                <w:lang w:eastAsia="zh-CN"/>
              </w:rPr>
              <w:t>的要求为基准。烧结工序实施超低排放改造且通过超低排放公示的企业，</w:t>
            </w:r>
            <w:bookmarkStart w:id="8" w:name="_Hlk129692304"/>
            <w:r>
              <w:rPr>
                <w:rFonts w:hint="eastAsia" w:ascii="Times New Roman" w:hAnsi="Times New Roman"/>
                <w:sz w:val="18"/>
                <w:szCs w:val="18"/>
                <w:lang w:eastAsia="zh-CN"/>
              </w:rPr>
              <w:t>在企业核算能耗值基础上</w:t>
            </w:r>
            <w:bookmarkStart w:id="9" w:name="_Hlk129692248"/>
            <w:r>
              <w:rPr>
                <w:rFonts w:hint="eastAsia" w:ascii="Times New Roman" w:hAnsi="Times New Roman"/>
                <w:sz w:val="18"/>
                <w:szCs w:val="18"/>
                <w:lang w:eastAsia="zh-CN"/>
              </w:rPr>
              <w:t xml:space="preserve">减少 </w:t>
            </w:r>
            <w:r>
              <w:rPr>
                <w:rFonts w:hint="eastAsia" w:ascii="Times New Roman" w:hAnsi="Times New Roman" w:eastAsiaTheme="minorEastAsia"/>
                <w:kern w:val="2"/>
                <w:sz w:val="18"/>
                <w:szCs w:val="18"/>
                <w:lang w:eastAsia="zh-CN"/>
              </w:rPr>
              <w:t>5</w:t>
            </w:r>
            <w:r>
              <w:rPr>
                <w:rFonts w:ascii="Times New Roman" w:hAnsi="Times New Roman" w:eastAsiaTheme="minorEastAsia"/>
                <w:kern w:val="2"/>
                <w:sz w:val="18"/>
                <w:szCs w:val="18"/>
                <w:lang w:eastAsia="zh-CN"/>
              </w:rPr>
              <w:t xml:space="preserve"> kgce/t</w:t>
            </w:r>
            <w:bookmarkEnd w:id="8"/>
            <w:bookmarkEnd w:id="9"/>
            <w:r>
              <w:rPr>
                <w:rFonts w:hint="eastAsia" w:ascii="Times New Roman" w:hAnsi="Times New Roman" w:eastAsiaTheme="minorEastAsia"/>
                <w:kern w:val="2"/>
                <w:sz w:val="18"/>
                <w:szCs w:val="18"/>
                <w:lang w:eastAsia="zh-CN"/>
              </w:rPr>
              <w:t>。</w:t>
            </w:r>
          </w:p>
          <w:p w14:paraId="6EC6AFE1">
            <w:pPr>
              <w:pStyle w:val="29"/>
              <w:ind w:firstLine="360" w:firstLineChars="200"/>
              <w:rPr>
                <w:rFonts w:ascii="Times New Roman" w:hAnsi="Times New Roman"/>
                <w:sz w:val="18"/>
                <w:szCs w:val="18"/>
                <w:lang w:eastAsia="zh-CN"/>
              </w:rPr>
            </w:pPr>
            <w:r>
              <w:rPr>
                <w:rFonts w:hint="eastAsia" w:ascii="黑体" w:hAnsi="黑体" w:eastAsia="黑体"/>
                <w:sz w:val="18"/>
                <w:szCs w:val="18"/>
                <w:lang w:eastAsia="zh-CN"/>
              </w:rPr>
              <w:t>注3</w:t>
            </w:r>
            <w:r>
              <w:rPr>
                <w:rFonts w:hint="eastAsia" w:ascii="Times New Roman" w:hAnsi="Times New Roman"/>
                <w:sz w:val="18"/>
                <w:szCs w:val="18"/>
                <w:lang w:eastAsia="zh-CN"/>
              </w:rPr>
              <w:t>：烧结原料中稀土矿、钒钛磁铁矿用量基准值为 0</w:t>
            </w:r>
            <w:r>
              <w:rPr>
                <w:rFonts w:ascii="Times New Roman" w:hAnsi="Times New Roman"/>
                <w:sz w:val="18"/>
                <w:szCs w:val="18"/>
                <w:lang w:eastAsia="zh-CN"/>
              </w:rPr>
              <w:t xml:space="preserve"> </w:t>
            </w:r>
            <w:r>
              <w:rPr>
                <w:rFonts w:hint="eastAsia" w:ascii="Times New Roman" w:hAnsi="Times New Roman"/>
                <w:sz w:val="18"/>
                <w:szCs w:val="18"/>
                <w:lang w:eastAsia="zh-CN"/>
              </w:rPr>
              <w:t>%，烧结工序实际用量每增加 1</w:t>
            </w:r>
            <w:r>
              <w:rPr>
                <w:rFonts w:ascii="Times New Roman" w:hAnsi="Times New Roman"/>
                <w:sz w:val="18"/>
                <w:szCs w:val="18"/>
                <w:lang w:eastAsia="zh-CN"/>
              </w:rPr>
              <w:t xml:space="preserve"> </w:t>
            </w:r>
            <w:r>
              <w:rPr>
                <w:rFonts w:hint="eastAsia" w:ascii="Times New Roman" w:hAnsi="Times New Roman"/>
                <w:sz w:val="18"/>
                <w:szCs w:val="18"/>
                <w:lang w:eastAsia="zh-CN"/>
              </w:rPr>
              <w:t>%，在企业核算能耗值基础上减少 0.15</w:t>
            </w:r>
            <w:r>
              <w:rPr>
                <w:rFonts w:ascii="Times New Roman" w:hAnsi="Times New Roman"/>
                <w:sz w:val="18"/>
                <w:szCs w:val="18"/>
                <w:lang w:eastAsia="zh-CN"/>
              </w:rPr>
              <w:t xml:space="preserve"> </w:t>
            </w:r>
            <w:r>
              <w:rPr>
                <w:rFonts w:hint="eastAsia" w:ascii="Times New Roman" w:hAnsi="Times New Roman"/>
                <w:sz w:val="18"/>
                <w:szCs w:val="18"/>
                <w:lang w:eastAsia="zh-CN"/>
              </w:rPr>
              <w:t>kgce/t。</w:t>
            </w:r>
          </w:p>
          <w:p w14:paraId="57565009">
            <w:pPr>
              <w:pStyle w:val="29"/>
              <w:ind w:firstLine="360" w:firstLineChars="200"/>
              <w:rPr>
                <w:rFonts w:ascii="Times New Roman" w:hAnsi="Times New Roman"/>
                <w:sz w:val="18"/>
                <w:szCs w:val="18"/>
                <w:lang w:eastAsia="zh-CN"/>
              </w:rPr>
            </w:pPr>
            <w:r>
              <w:rPr>
                <w:rFonts w:hint="eastAsia" w:ascii="黑体" w:hAnsi="黑体" w:eastAsia="黑体"/>
                <w:sz w:val="18"/>
                <w:szCs w:val="18"/>
                <w:lang w:eastAsia="zh-CN"/>
              </w:rPr>
              <w:t>注4</w:t>
            </w:r>
            <w:r>
              <w:rPr>
                <w:rFonts w:hint="eastAsia" w:ascii="Times New Roman" w:hAnsi="Times New Roman"/>
                <w:sz w:val="18"/>
                <w:szCs w:val="18"/>
                <w:lang w:eastAsia="zh-CN"/>
              </w:rPr>
              <w:t>：烧结原料中褐铁矿用量基准值为 3</w:t>
            </w:r>
            <w:r>
              <w:rPr>
                <w:rFonts w:ascii="Times New Roman" w:hAnsi="Times New Roman"/>
                <w:sz w:val="18"/>
                <w:szCs w:val="18"/>
                <w:lang w:eastAsia="zh-CN"/>
              </w:rPr>
              <w:t xml:space="preserve">5 </w:t>
            </w:r>
            <w:r>
              <w:rPr>
                <w:rFonts w:hint="eastAsia" w:ascii="Times New Roman" w:hAnsi="Times New Roman"/>
                <w:sz w:val="18"/>
                <w:szCs w:val="18"/>
                <w:lang w:eastAsia="zh-CN"/>
              </w:rPr>
              <w:t>%，烧结工序实际用量每增/减 1</w:t>
            </w:r>
            <w:r>
              <w:rPr>
                <w:rFonts w:ascii="Times New Roman" w:hAnsi="Times New Roman"/>
                <w:sz w:val="18"/>
                <w:szCs w:val="18"/>
                <w:lang w:eastAsia="zh-CN"/>
              </w:rPr>
              <w:t xml:space="preserve"> </w:t>
            </w:r>
            <w:r>
              <w:rPr>
                <w:rFonts w:hint="eastAsia" w:ascii="Times New Roman" w:hAnsi="Times New Roman"/>
                <w:sz w:val="18"/>
                <w:szCs w:val="18"/>
                <w:lang w:eastAsia="zh-CN"/>
              </w:rPr>
              <w:t>%，在企业核算能耗值基础上减/增0.1</w:t>
            </w:r>
            <w:r>
              <w:rPr>
                <w:rFonts w:ascii="Times New Roman" w:hAnsi="Times New Roman"/>
                <w:sz w:val="18"/>
                <w:szCs w:val="18"/>
                <w:lang w:eastAsia="zh-CN"/>
              </w:rPr>
              <w:t>0</w:t>
            </w:r>
            <w:r>
              <w:rPr>
                <w:rFonts w:hint="eastAsia" w:ascii="Times New Roman" w:hAnsi="Times New Roman"/>
                <w:sz w:val="18"/>
                <w:szCs w:val="18"/>
                <w:lang w:eastAsia="zh-CN"/>
              </w:rPr>
              <w:t>kgce/t。</w:t>
            </w:r>
          </w:p>
        </w:tc>
      </w:tr>
    </w:tbl>
    <w:p w14:paraId="4298D6DE">
      <w:pPr>
        <w:pStyle w:val="21"/>
        <w:spacing w:before="156" w:after="156"/>
        <w:rPr>
          <w:rFonts w:hint="eastAsia" w:hAnsi="黑体" w:cs="黑体"/>
          <w:szCs w:val="21"/>
        </w:rPr>
      </w:pPr>
      <w:r>
        <w:rPr>
          <w:rFonts w:hint="eastAsia" w:hAnsi="黑体" w:cs="黑体"/>
          <w:szCs w:val="21"/>
        </w:rPr>
        <w:t>铸造用生铁生产球团工序单位产品能耗等级</w:t>
      </w:r>
    </w:p>
    <w:p w14:paraId="7C77D2E5">
      <w:pPr>
        <w:pStyle w:val="26"/>
        <w:wordWrap w:val="0"/>
        <w:ind w:firstLine="360"/>
        <w:jc w:val="right"/>
      </w:pPr>
      <w:r>
        <w:rPr>
          <w:rFonts w:hint="eastAsia" w:hAnsi="黑体" w:cs="黑体"/>
          <w:sz w:val="18"/>
          <w:szCs w:val="18"/>
        </w:rPr>
        <w:t>单位为</w:t>
      </w:r>
      <w:r>
        <w:rPr>
          <w:rFonts w:hAnsi="黑体" w:cs="黑体"/>
          <w:sz w:val="18"/>
          <w:szCs w:val="18"/>
        </w:rPr>
        <w:t>kgce/t</w:t>
      </w:r>
      <w:r>
        <w:rPr>
          <w:rFonts w:hint="eastAsia" w:hAnsi="黑体" w:cs="黑体"/>
          <w:szCs w:val="21"/>
        </w:rPr>
        <w:t xml:space="preserve"> </w:t>
      </w:r>
    </w:p>
    <w:tbl>
      <w:tblPr>
        <w:tblStyle w:val="9"/>
        <w:tblW w:w="910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49"/>
        <w:gridCol w:w="1984"/>
        <w:gridCol w:w="1984"/>
        <w:gridCol w:w="1985"/>
      </w:tblGrid>
      <w:tr w14:paraId="59AAD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149" w:type="dxa"/>
            <w:vMerge w:val="restart"/>
            <w:vAlign w:val="center"/>
          </w:tcPr>
          <w:p w14:paraId="1BE289A3">
            <w:pPr>
              <w:pStyle w:val="29"/>
              <w:jc w:val="center"/>
              <w:rPr>
                <w:rFonts w:ascii="Times New Roman" w:hAnsi="Times New Roman"/>
                <w:sz w:val="18"/>
                <w:szCs w:val="18"/>
                <w:lang w:eastAsia="zh-CN"/>
              </w:rPr>
            </w:pPr>
            <w:r>
              <w:rPr>
                <w:rFonts w:hint="eastAsia" w:ascii="Times New Roman" w:hAnsi="Times New Roman"/>
                <w:sz w:val="18"/>
                <w:szCs w:val="18"/>
                <w:lang w:eastAsia="zh-CN"/>
              </w:rPr>
              <w:t>工序名称</w:t>
            </w:r>
          </w:p>
        </w:tc>
        <w:tc>
          <w:tcPr>
            <w:tcW w:w="5953" w:type="dxa"/>
            <w:gridSpan w:val="3"/>
            <w:vAlign w:val="center"/>
          </w:tcPr>
          <w:p w14:paraId="5CC70229">
            <w:pPr>
              <w:pStyle w:val="29"/>
              <w:jc w:val="center"/>
              <w:rPr>
                <w:rFonts w:ascii="Times New Roman" w:hAnsi="Times New Roman"/>
                <w:sz w:val="18"/>
                <w:szCs w:val="18"/>
                <w:lang w:eastAsia="zh-CN"/>
              </w:rPr>
            </w:pPr>
            <w:r>
              <w:rPr>
                <w:rFonts w:hint="eastAsia" w:ascii="Times New Roman" w:hAnsi="Times New Roman"/>
                <w:sz w:val="18"/>
                <w:szCs w:val="18"/>
                <w:lang w:eastAsia="zh-CN"/>
              </w:rPr>
              <w:t>能耗等级</w:t>
            </w:r>
          </w:p>
        </w:tc>
      </w:tr>
      <w:tr w14:paraId="69A18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149" w:type="dxa"/>
            <w:vMerge w:val="continue"/>
            <w:vAlign w:val="center"/>
          </w:tcPr>
          <w:p w14:paraId="0A26C04D">
            <w:pPr>
              <w:pStyle w:val="29"/>
              <w:jc w:val="center"/>
              <w:rPr>
                <w:rFonts w:ascii="Times New Roman" w:hAnsi="Times New Roman"/>
                <w:sz w:val="18"/>
                <w:szCs w:val="18"/>
                <w:highlight w:val="cyan"/>
                <w:lang w:eastAsia="zh-CN"/>
              </w:rPr>
            </w:pPr>
          </w:p>
        </w:tc>
        <w:tc>
          <w:tcPr>
            <w:tcW w:w="1984" w:type="dxa"/>
            <w:vAlign w:val="center"/>
          </w:tcPr>
          <w:p w14:paraId="0BAC0D1D">
            <w:pPr>
              <w:pStyle w:val="29"/>
              <w:jc w:val="center"/>
              <w:rPr>
                <w:rFonts w:ascii="Times New Roman" w:hAnsi="Times New Roman"/>
                <w:sz w:val="18"/>
                <w:szCs w:val="18"/>
                <w:lang w:eastAsia="zh-CN"/>
              </w:rPr>
            </w:pPr>
            <w:r>
              <w:rPr>
                <w:rFonts w:ascii="Times New Roman" w:hAnsi="Times New Roman"/>
                <w:sz w:val="18"/>
                <w:szCs w:val="18"/>
                <w:lang w:eastAsia="zh-CN"/>
              </w:rPr>
              <w:t xml:space="preserve">1 </w:t>
            </w:r>
            <w:r>
              <w:rPr>
                <w:rFonts w:hint="eastAsia" w:ascii="Times New Roman" w:hAnsi="Times New Roman"/>
                <w:sz w:val="18"/>
                <w:szCs w:val="18"/>
                <w:lang w:eastAsia="zh-CN"/>
              </w:rPr>
              <w:t>级</w:t>
            </w:r>
          </w:p>
        </w:tc>
        <w:tc>
          <w:tcPr>
            <w:tcW w:w="1984" w:type="dxa"/>
            <w:vAlign w:val="center"/>
          </w:tcPr>
          <w:p w14:paraId="627FBB6B">
            <w:pPr>
              <w:pStyle w:val="29"/>
              <w:jc w:val="center"/>
              <w:rPr>
                <w:rFonts w:ascii="Times New Roman" w:hAnsi="Times New Roman"/>
                <w:sz w:val="18"/>
                <w:szCs w:val="18"/>
                <w:lang w:eastAsia="zh-CN"/>
              </w:rPr>
            </w:pPr>
            <w:r>
              <w:rPr>
                <w:rFonts w:ascii="Times New Roman" w:hAnsi="Times New Roman"/>
                <w:sz w:val="18"/>
                <w:szCs w:val="18"/>
                <w:lang w:eastAsia="zh-CN"/>
              </w:rPr>
              <w:t xml:space="preserve">2 </w:t>
            </w:r>
            <w:r>
              <w:rPr>
                <w:rFonts w:hint="eastAsia" w:ascii="Times New Roman" w:hAnsi="Times New Roman"/>
                <w:sz w:val="18"/>
                <w:szCs w:val="18"/>
                <w:lang w:eastAsia="zh-CN"/>
              </w:rPr>
              <w:t>级</w:t>
            </w:r>
          </w:p>
        </w:tc>
        <w:tc>
          <w:tcPr>
            <w:tcW w:w="1985" w:type="dxa"/>
          </w:tcPr>
          <w:p w14:paraId="5945E650">
            <w:pPr>
              <w:pStyle w:val="29"/>
              <w:jc w:val="center"/>
              <w:rPr>
                <w:rFonts w:ascii="Times New Roman" w:hAnsi="Times New Roman"/>
                <w:sz w:val="18"/>
                <w:szCs w:val="18"/>
                <w:lang w:eastAsia="zh-CN"/>
              </w:rPr>
            </w:pPr>
            <w:r>
              <w:rPr>
                <w:rFonts w:ascii="Times New Roman" w:hAnsi="Times New Roman"/>
                <w:sz w:val="18"/>
                <w:szCs w:val="18"/>
                <w:lang w:eastAsia="zh-CN"/>
              </w:rPr>
              <w:t xml:space="preserve">3 </w:t>
            </w:r>
            <w:r>
              <w:rPr>
                <w:rFonts w:hint="eastAsia" w:ascii="Times New Roman" w:hAnsi="Times New Roman"/>
                <w:sz w:val="18"/>
                <w:szCs w:val="18"/>
                <w:lang w:eastAsia="zh-CN"/>
              </w:rPr>
              <w:t>级</w:t>
            </w:r>
          </w:p>
        </w:tc>
      </w:tr>
      <w:tr w14:paraId="3F273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149" w:type="dxa"/>
            <w:vAlign w:val="center"/>
          </w:tcPr>
          <w:p w14:paraId="73E752B4">
            <w:pPr>
              <w:pStyle w:val="29"/>
              <w:jc w:val="center"/>
              <w:rPr>
                <w:rFonts w:ascii="Times New Roman" w:hAnsi="Times New Roman"/>
                <w:sz w:val="18"/>
                <w:szCs w:val="18"/>
                <w:lang w:eastAsia="zh-CN"/>
              </w:rPr>
            </w:pPr>
            <w:r>
              <w:rPr>
                <w:rFonts w:hint="eastAsia" w:ascii="Times New Roman" w:hAnsi="Times New Roman"/>
                <w:sz w:val="18"/>
                <w:szCs w:val="18"/>
                <w:lang w:eastAsia="zh-CN"/>
              </w:rPr>
              <w:t>球团工序</w:t>
            </w:r>
          </w:p>
        </w:tc>
        <w:tc>
          <w:tcPr>
            <w:tcW w:w="1984" w:type="dxa"/>
            <w:vAlign w:val="center"/>
          </w:tcPr>
          <w:p w14:paraId="0C5CABEB">
            <w:pPr>
              <w:pStyle w:val="29"/>
              <w:jc w:val="center"/>
              <w:rPr>
                <w:rFonts w:ascii="Times New Roman" w:hAnsi="Times New Roman"/>
                <w:sz w:val="18"/>
                <w:szCs w:val="18"/>
                <w:lang w:eastAsia="zh-CN"/>
              </w:rPr>
            </w:pPr>
            <w:r>
              <w:rPr>
                <w:rFonts w:hint="eastAsia" w:ascii="Times New Roman" w:hAnsi="Times New Roman"/>
                <w:sz w:val="18"/>
                <w:szCs w:val="18"/>
                <w:lang w:eastAsia="zh-CN"/>
              </w:rPr>
              <w:t>≤</w:t>
            </w:r>
            <w:r>
              <w:rPr>
                <w:rFonts w:ascii="Times New Roman" w:hAnsi="Times New Roman"/>
                <w:sz w:val="18"/>
                <w:szCs w:val="18"/>
                <w:lang w:eastAsia="zh-CN"/>
              </w:rPr>
              <w:t>28</w:t>
            </w:r>
          </w:p>
        </w:tc>
        <w:tc>
          <w:tcPr>
            <w:tcW w:w="1984" w:type="dxa"/>
            <w:vAlign w:val="center"/>
          </w:tcPr>
          <w:p w14:paraId="5A3C18D5">
            <w:pPr>
              <w:pStyle w:val="29"/>
              <w:jc w:val="center"/>
              <w:rPr>
                <w:rFonts w:ascii="Times New Roman" w:hAnsi="Times New Roman"/>
                <w:sz w:val="18"/>
                <w:szCs w:val="18"/>
                <w:lang w:eastAsia="zh-CN"/>
              </w:rPr>
            </w:pPr>
            <w:r>
              <w:rPr>
                <w:rFonts w:hint="eastAsia" w:ascii="Times New Roman" w:hAnsi="Times New Roman"/>
                <w:sz w:val="18"/>
                <w:szCs w:val="18"/>
                <w:lang w:eastAsia="zh-CN"/>
              </w:rPr>
              <w:t>≤</w:t>
            </w:r>
            <w:r>
              <w:rPr>
                <w:rFonts w:ascii="Times New Roman" w:hAnsi="Times New Roman"/>
                <w:sz w:val="18"/>
                <w:szCs w:val="18"/>
                <w:lang w:eastAsia="zh-CN"/>
              </w:rPr>
              <w:t>32</w:t>
            </w:r>
          </w:p>
        </w:tc>
        <w:tc>
          <w:tcPr>
            <w:tcW w:w="1985" w:type="dxa"/>
            <w:vAlign w:val="center"/>
          </w:tcPr>
          <w:p w14:paraId="4E9181A3">
            <w:pPr>
              <w:pStyle w:val="29"/>
              <w:jc w:val="center"/>
              <w:rPr>
                <w:rFonts w:ascii="Times New Roman" w:hAnsi="Times New Roman"/>
                <w:sz w:val="18"/>
                <w:szCs w:val="18"/>
                <w:lang w:eastAsia="zh-CN"/>
              </w:rPr>
            </w:pPr>
            <w:r>
              <w:rPr>
                <w:rFonts w:hint="eastAsia" w:ascii="Times New Roman" w:hAnsi="Times New Roman"/>
                <w:sz w:val="18"/>
                <w:szCs w:val="18"/>
                <w:lang w:eastAsia="zh-CN"/>
              </w:rPr>
              <w:t>≤</w:t>
            </w:r>
            <w:r>
              <w:rPr>
                <w:rFonts w:ascii="Times New Roman" w:hAnsi="Times New Roman"/>
                <w:sz w:val="18"/>
                <w:szCs w:val="18"/>
                <w:lang w:eastAsia="zh-CN"/>
              </w:rPr>
              <w:t>36</w:t>
            </w:r>
          </w:p>
        </w:tc>
      </w:tr>
      <w:tr w14:paraId="2096E9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exact"/>
          <w:jc w:val="center"/>
        </w:trPr>
        <w:tc>
          <w:tcPr>
            <w:tcW w:w="9102" w:type="dxa"/>
            <w:gridSpan w:val="4"/>
          </w:tcPr>
          <w:p w14:paraId="5E849D64">
            <w:pPr>
              <w:pStyle w:val="24"/>
              <w:autoSpaceDE/>
              <w:autoSpaceDN/>
              <w:ind w:firstLine="360"/>
              <w:jc w:val="left"/>
              <w:rPr>
                <w:rFonts w:ascii="Times New Roman" w:hAnsi="Times New Roman" w:eastAsiaTheme="minorEastAsia"/>
                <w:sz w:val="18"/>
                <w:szCs w:val="18"/>
              </w:rPr>
            </w:pPr>
            <w:r>
              <w:rPr>
                <w:rFonts w:ascii="黑体" w:hAnsi="黑体" w:eastAsia="黑体"/>
                <w:sz w:val="18"/>
                <w:szCs w:val="18"/>
              </w:rPr>
              <w:t>注1</w:t>
            </w:r>
            <w:r>
              <w:rPr>
                <w:rFonts w:hint="eastAsia" w:ascii="黑体" w:hAnsi="黑体" w:eastAsia="黑体"/>
                <w:sz w:val="18"/>
                <w:szCs w:val="18"/>
              </w:rPr>
              <w:t>：</w:t>
            </w:r>
            <w:r>
              <w:rPr>
                <w:rFonts w:hint="eastAsia"/>
                <w:sz w:val="18"/>
                <w:szCs w:val="18"/>
              </w:rPr>
              <w:t>电力折标系数采用当量值</w:t>
            </w:r>
            <w:r>
              <w:rPr>
                <w:rFonts w:hint="eastAsia" w:ascii="Times New Roman" w:eastAsiaTheme="minorEastAsia"/>
                <w:sz w:val="18"/>
                <w:szCs w:val="18"/>
              </w:rPr>
              <w:t xml:space="preserve"> </w:t>
            </w:r>
            <w:r>
              <w:rPr>
                <w:rFonts w:ascii="Times New Roman" w:eastAsiaTheme="minorEastAsia"/>
                <w:sz w:val="18"/>
                <w:szCs w:val="18"/>
              </w:rPr>
              <w:t>0.1229 kgce/kWh</w:t>
            </w:r>
            <w:r>
              <w:rPr>
                <w:rFonts w:hint="eastAsia" w:ascii="Times New Roman" w:eastAsiaTheme="minorEastAsia"/>
                <w:sz w:val="18"/>
                <w:szCs w:val="18"/>
              </w:rPr>
              <w:t>。</w:t>
            </w:r>
          </w:p>
        </w:tc>
      </w:tr>
    </w:tbl>
    <w:p w14:paraId="45872AF7">
      <w:pPr>
        <w:pStyle w:val="21"/>
        <w:spacing w:before="156" w:after="156"/>
      </w:pPr>
      <w:r>
        <w:rPr>
          <w:rFonts w:hint="eastAsia" w:hAnsi="黑体" w:cs="黑体"/>
          <w:szCs w:val="21"/>
        </w:rPr>
        <w:t>铸造用生铁生产高炉工序单位产品能耗等级</w:t>
      </w:r>
    </w:p>
    <w:p w14:paraId="6D881F31">
      <w:pPr>
        <w:pStyle w:val="26"/>
        <w:wordWrap w:val="0"/>
        <w:ind w:firstLine="360"/>
        <w:jc w:val="right"/>
      </w:pPr>
      <w:r>
        <w:rPr>
          <w:rFonts w:hint="eastAsia" w:hAnsi="黑体" w:cs="黑体"/>
          <w:sz w:val="18"/>
          <w:szCs w:val="18"/>
        </w:rPr>
        <w:t>单位为</w:t>
      </w:r>
      <w:r>
        <w:rPr>
          <w:rFonts w:hAnsi="黑体" w:cs="黑体"/>
          <w:sz w:val="18"/>
          <w:szCs w:val="18"/>
        </w:rPr>
        <w:t>kgce/t</w:t>
      </w:r>
      <w:r>
        <w:rPr>
          <w:rFonts w:hint="eastAsia" w:hAnsi="黑体" w:cs="黑体"/>
          <w:sz w:val="18"/>
          <w:szCs w:val="18"/>
        </w:rPr>
        <w:t xml:space="preserve"> </w:t>
      </w:r>
    </w:p>
    <w:tbl>
      <w:tblPr>
        <w:tblStyle w:val="9"/>
        <w:tblW w:w="910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49"/>
        <w:gridCol w:w="1984"/>
        <w:gridCol w:w="1984"/>
        <w:gridCol w:w="1985"/>
      </w:tblGrid>
      <w:tr w14:paraId="1F5B3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149" w:type="dxa"/>
            <w:vMerge w:val="restart"/>
            <w:vAlign w:val="center"/>
          </w:tcPr>
          <w:p w14:paraId="1A21965C">
            <w:pPr>
              <w:pStyle w:val="29"/>
              <w:spacing w:before="25"/>
              <w:jc w:val="center"/>
              <w:rPr>
                <w:rFonts w:ascii="Times New Roman" w:hAnsi="Times New Roman"/>
                <w:sz w:val="18"/>
                <w:szCs w:val="18"/>
                <w:lang w:eastAsia="zh-CN"/>
              </w:rPr>
            </w:pPr>
            <w:r>
              <w:rPr>
                <w:rFonts w:hint="eastAsia" w:ascii="Times New Roman" w:hAnsi="Times New Roman"/>
                <w:sz w:val="18"/>
                <w:szCs w:val="18"/>
                <w:lang w:eastAsia="zh-CN"/>
              </w:rPr>
              <w:t>工序名称</w:t>
            </w:r>
          </w:p>
        </w:tc>
        <w:tc>
          <w:tcPr>
            <w:tcW w:w="5953" w:type="dxa"/>
            <w:gridSpan w:val="3"/>
            <w:vAlign w:val="center"/>
          </w:tcPr>
          <w:p w14:paraId="15920F22">
            <w:pPr>
              <w:pStyle w:val="29"/>
              <w:spacing w:before="25"/>
              <w:jc w:val="center"/>
              <w:rPr>
                <w:rFonts w:ascii="Times New Roman" w:hAnsi="Times New Roman"/>
                <w:sz w:val="18"/>
                <w:szCs w:val="18"/>
                <w:lang w:eastAsia="zh-CN"/>
              </w:rPr>
            </w:pPr>
            <w:r>
              <w:rPr>
                <w:rFonts w:hint="eastAsia" w:ascii="Times New Roman" w:hAnsi="Times New Roman"/>
                <w:sz w:val="18"/>
                <w:szCs w:val="18"/>
                <w:lang w:eastAsia="zh-CN"/>
              </w:rPr>
              <w:t>能耗等级</w:t>
            </w:r>
          </w:p>
        </w:tc>
      </w:tr>
      <w:tr w14:paraId="545012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149" w:type="dxa"/>
            <w:vMerge w:val="continue"/>
            <w:vAlign w:val="center"/>
          </w:tcPr>
          <w:p w14:paraId="098C07F1">
            <w:pPr>
              <w:pStyle w:val="29"/>
              <w:spacing w:before="25"/>
              <w:jc w:val="center"/>
              <w:rPr>
                <w:rFonts w:ascii="Times New Roman" w:hAnsi="Times New Roman"/>
                <w:sz w:val="18"/>
                <w:szCs w:val="18"/>
                <w:lang w:eastAsia="zh-CN"/>
              </w:rPr>
            </w:pPr>
          </w:p>
        </w:tc>
        <w:tc>
          <w:tcPr>
            <w:tcW w:w="1984" w:type="dxa"/>
            <w:vAlign w:val="center"/>
          </w:tcPr>
          <w:p w14:paraId="5C1968D6">
            <w:pPr>
              <w:pStyle w:val="29"/>
              <w:spacing w:before="25"/>
              <w:jc w:val="center"/>
              <w:rPr>
                <w:rFonts w:ascii="Times New Roman" w:hAnsi="Times New Roman"/>
                <w:sz w:val="18"/>
                <w:szCs w:val="18"/>
                <w:lang w:eastAsia="zh-CN"/>
              </w:rPr>
            </w:pPr>
            <w:r>
              <w:rPr>
                <w:rFonts w:ascii="Times New Roman" w:hAnsi="Times New Roman"/>
                <w:sz w:val="18"/>
                <w:szCs w:val="18"/>
                <w:lang w:eastAsia="zh-CN"/>
              </w:rPr>
              <w:t xml:space="preserve">1 </w:t>
            </w:r>
            <w:r>
              <w:rPr>
                <w:rFonts w:hint="eastAsia" w:ascii="Times New Roman" w:hAnsi="Times New Roman"/>
                <w:sz w:val="18"/>
                <w:szCs w:val="18"/>
                <w:lang w:eastAsia="zh-CN"/>
              </w:rPr>
              <w:t>级</w:t>
            </w:r>
          </w:p>
        </w:tc>
        <w:tc>
          <w:tcPr>
            <w:tcW w:w="1984" w:type="dxa"/>
            <w:vAlign w:val="center"/>
          </w:tcPr>
          <w:p w14:paraId="55D7D419">
            <w:pPr>
              <w:pStyle w:val="29"/>
              <w:spacing w:before="25"/>
              <w:jc w:val="center"/>
              <w:rPr>
                <w:rFonts w:ascii="Times New Roman" w:hAnsi="Times New Roman"/>
                <w:sz w:val="18"/>
                <w:szCs w:val="18"/>
                <w:lang w:eastAsia="zh-CN"/>
              </w:rPr>
            </w:pPr>
            <w:r>
              <w:rPr>
                <w:rFonts w:ascii="Times New Roman" w:hAnsi="Times New Roman"/>
                <w:sz w:val="18"/>
                <w:szCs w:val="18"/>
                <w:lang w:eastAsia="zh-CN"/>
              </w:rPr>
              <w:t xml:space="preserve">2 </w:t>
            </w:r>
            <w:r>
              <w:rPr>
                <w:rFonts w:hint="eastAsia" w:ascii="Times New Roman" w:hAnsi="Times New Roman"/>
                <w:sz w:val="18"/>
                <w:szCs w:val="18"/>
                <w:lang w:eastAsia="zh-CN"/>
              </w:rPr>
              <w:t>级</w:t>
            </w:r>
          </w:p>
        </w:tc>
        <w:tc>
          <w:tcPr>
            <w:tcW w:w="1985" w:type="dxa"/>
          </w:tcPr>
          <w:p w14:paraId="53F0B4AC">
            <w:pPr>
              <w:pStyle w:val="29"/>
              <w:spacing w:before="25"/>
              <w:jc w:val="center"/>
              <w:rPr>
                <w:rFonts w:ascii="Times New Roman" w:hAnsi="Times New Roman"/>
                <w:sz w:val="18"/>
                <w:szCs w:val="18"/>
                <w:lang w:eastAsia="zh-CN"/>
              </w:rPr>
            </w:pPr>
            <w:r>
              <w:rPr>
                <w:rFonts w:ascii="Times New Roman" w:hAnsi="Times New Roman"/>
                <w:sz w:val="18"/>
                <w:szCs w:val="18"/>
                <w:lang w:eastAsia="zh-CN"/>
              </w:rPr>
              <w:t xml:space="preserve">3 </w:t>
            </w:r>
            <w:r>
              <w:rPr>
                <w:rFonts w:hint="eastAsia" w:ascii="Times New Roman" w:hAnsi="Times New Roman"/>
                <w:sz w:val="18"/>
                <w:szCs w:val="18"/>
                <w:lang w:eastAsia="zh-CN"/>
              </w:rPr>
              <w:t>级</w:t>
            </w:r>
          </w:p>
        </w:tc>
      </w:tr>
      <w:tr w14:paraId="5D200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3149" w:type="dxa"/>
            <w:vAlign w:val="center"/>
          </w:tcPr>
          <w:p w14:paraId="1EDF1D83">
            <w:pPr>
              <w:pStyle w:val="29"/>
              <w:spacing w:before="25"/>
              <w:jc w:val="center"/>
              <w:rPr>
                <w:rFonts w:ascii="Times New Roman" w:hAnsi="Times New Roman"/>
                <w:sz w:val="18"/>
                <w:szCs w:val="18"/>
                <w:lang w:eastAsia="zh-CN"/>
              </w:rPr>
            </w:pPr>
            <w:r>
              <w:rPr>
                <w:rFonts w:hint="eastAsia" w:ascii="Times New Roman" w:hAnsi="Times New Roman"/>
                <w:sz w:val="18"/>
                <w:szCs w:val="18"/>
                <w:lang w:eastAsia="zh-CN"/>
              </w:rPr>
              <w:t>高炉工序</w:t>
            </w:r>
          </w:p>
        </w:tc>
        <w:tc>
          <w:tcPr>
            <w:tcW w:w="1984" w:type="dxa"/>
            <w:vAlign w:val="center"/>
          </w:tcPr>
          <w:p w14:paraId="707BFC7C">
            <w:pPr>
              <w:pStyle w:val="29"/>
              <w:spacing w:before="25"/>
              <w:jc w:val="center"/>
              <w:rPr>
                <w:rFonts w:ascii="Times New Roman" w:hAnsi="Times New Roman"/>
                <w:sz w:val="18"/>
                <w:szCs w:val="18"/>
                <w:lang w:eastAsia="zh-CN"/>
              </w:rPr>
            </w:pPr>
            <w:r>
              <w:rPr>
                <w:rFonts w:hint="eastAsia" w:ascii="Times New Roman" w:hAnsi="Times New Roman"/>
                <w:sz w:val="18"/>
                <w:szCs w:val="18"/>
                <w:lang w:eastAsia="zh-CN"/>
              </w:rPr>
              <w:t>≤</w:t>
            </w:r>
            <w:r>
              <w:rPr>
                <w:rFonts w:ascii="Times New Roman" w:hAnsi="Times New Roman"/>
                <w:sz w:val="18"/>
                <w:szCs w:val="18"/>
                <w:lang w:eastAsia="zh-CN"/>
              </w:rPr>
              <w:t>4</w:t>
            </w:r>
            <w:r>
              <w:rPr>
                <w:rFonts w:hint="eastAsia" w:ascii="Times New Roman" w:hAnsi="Times New Roman"/>
                <w:sz w:val="18"/>
                <w:szCs w:val="18"/>
                <w:lang w:eastAsia="zh-CN"/>
              </w:rPr>
              <w:t>10</w:t>
            </w:r>
          </w:p>
        </w:tc>
        <w:tc>
          <w:tcPr>
            <w:tcW w:w="1984" w:type="dxa"/>
            <w:vAlign w:val="center"/>
          </w:tcPr>
          <w:p w14:paraId="5F920F57">
            <w:pPr>
              <w:pStyle w:val="29"/>
              <w:spacing w:before="25"/>
              <w:jc w:val="center"/>
              <w:rPr>
                <w:rFonts w:ascii="Times New Roman" w:hAnsi="Times New Roman"/>
                <w:sz w:val="18"/>
                <w:szCs w:val="18"/>
                <w:lang w:eastAsia="zh-CN"/>
              </w:rPr>
            </w:pPr>
            <w:r>
              <w:rPr>
                <w:rFonts w:hint="eastAsia" w:ascii="Times New Roman" w:hAnsi="Times New Roman"/>
                <w:sz w:val="18"/>
                <w:szCs w:val="18"/>
                <w:lang w:eastAsia="zh-CN"/>
              </w:rPr>
              <w:t>≤</w:t>
            </w:r>
            <w:r>
              <w:rPr>
                <w:rFonts w:ascii="Times New Roman" w:hAnsi="Times New Roman"/>
                <w:sz w:val="18"/>
                <w:szCs w:val="18"/>
                <w:lang w:eastAsia="zh-CN"/>
              </w:rPr>
              <w:t>42</w:t>
            </w:r>
            <w:r>
              <w:rPr>
                <w:rFonts w:hint="eastAsia" w:ascii="Times New Roman" w:hAnsi="Times New Roman"/>
                <w:sz w:val="18"/>
                <w:szCs w:val="18"/>
                <w:lang w:eastAsia="zh-CN"/>
              </w:rPr>
              <w:t>5</w:t>
            </w:r>
          </w:p>
        </w:tc>
        <w:tc>
          <w:tcPr>
            <w:tcW w:w="1985" w:type="dxa"/>
            <w:vAlign w:val="center"/>
          </w:tcPr>
          <w:p w14:paraId="016364D6">
            <w:pPr>
              <w:pStyle w:val="29"/>
              <w:spacing w:before="25"/>
              <w:jc w:val="center"/>
              <w:rPr>
                <w:rFonts w:ascii="Times New Roman" w:hAnsi="Times New Roman"/>
                <w:sz w:val="18"/>
                <w:szCs w:val="18"/>
                <w:lang w:eastAsia="zh-CN"/>
              </w:rPr>
            </w:pPr>
            <w:r>
              <w:rPr>
                <w:rFonts w:hint="eastAsia" w:ascii="Times New Roman" w:hAnsi="Times New Roman"/>
                <w:sz w:val="18"/>
                <w:szCs w:val="18"/>
                <w:lang w:eastAsia="zh-CN"/>
              </w:rPr>
              <w:t>≤</w:t>
            </w:r>
            <w:r>
              <w:rPr>
                <w:rFonts w:ascii="Times New Roman" w:hAnsi="Times New Roman"/>
                <w:sz w:val="18"/>
                <w:szCs w:val="18"/>
                <w:lang w:eastAsia="zh-CN"/>
              </w:rPr>
              <w:t>4</w:t>
            </w:r>
            <w:r>
              <w:rPr>
                <w:rFonts w:hint="eastAsia" w:ascii="Times New Roman" w:hAnsi="Times New Roman"/>
                <w:sz w:val="18"/>
                <w:szCs w:val="18"/>
                <w:lang w:eastAsia="zh-CN"/>
              </w:rPr>
              <w:t>40</w:t>
            </w:r>
          </w:p>
        </w:tc>
      </w:tr>
      <w:tr w14:paraId="5BA8B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4" w:hRule="exact"/>
          <w:jc w:val="center"/>
        </w:trPr>
        <w:tc>
          <w:tcPr>
            <w:tcW w:w="9102" w:type="dxa"/>
            <w:gridSpan w:val="4"/>
          </w:tcPr>
          <w:p w14:paraId="31830164">
            <w:pPr>
              <w:spacing w:line="240" w:lineRule="exact"/>
              <w:ind w:left="140" w:leftChars="50" w:right="230" w:rightChars="82" w:firstLine="360" w:firstLineChars="200"/>
              <w:rPr>
                <w:rFonts w:eastAsiaTheme="minorEastAsia"/>
              </w:rPr>
            </w:pPr>
            <w:r>
              <w:rPr>
                <w:rFonts w:ascii="黑体" w:hAnsi="黑体" w:eastAsia="黑体"/>
                <w:sz w:val="18"/>
                <w:szCs w:val="18"/>
              </w:rPr>
              <w:t>注</w:t>
            </w:r>
            <w:r>
              <w:rPr>
                <w:rFonts w:hint="eastAsia" w:ascii="黑体" w:hAnsi="黑体" w:eastAsia="黑体"/>
                <w:sz w:val="18"/>
                <w:szCs w:val="18"/>
              </w:rPr>
              <w:t>1</w:t>
            </w:r>
            <w:r>
              <w:rPr>
                <w:rFonts w:ascii="黑体" w:hAnsi="黑体" w:eastAsia="黑体"/>
                <w:sz w:val="18"/>
                <w:szCs w:val="18"/>
              </w:rPr>
              <w:t>：</w:t>
            </w:r>
            <w:r>
              <w:rPr>
                <w:rFonts w:hint="eastAsia" w:ascii="宋体" w:hAnsi="宋体" w:eastAsia="宋体" w:cstheme="minorBidi"/>
                <w:sz w:val="18"/>
                <w:szCs w:val="18"/>
              </w:rPr>
              <w:t>高炉铁液中硅含量基准值为</w:t>
            </w:r>
            <w:r>
              <w:rPr>
                <w:rFonts w:ascii="宋体" w:hAnsi="宋体" w:eastAsia="宋体" w:cstheme="minorBidi"/>
                <w:sz w:val="18"/>
                <w:szCs w:val="18"/>
              </w:rPr>
              <w:t xml:space="preserve"> 0.5 %</w:t>
            </w:r>
            <w:r>
              <w:rPr>
                <w:rFonts w:hint="eastAsia" w:ascii="宋体" w:hAnsi="宋体" w:eastAsia="宋体" w:cstheme="minorBidi"/>
                <w:sz w:val="18"/>
                <w:szCs w:val="18"/>
              </w:rPr>
              <w:t>，实际硅含量每增/减</w:t>
            </w:r>
            <w:r>
              <w:rPr>
                <w:rFonts w:ascii="宋体" w:hAnsi="宋体" w:eastAsia="宋体" w:cstheme="minorBidi"/>
                <w:sz w:val="18"/>
                <w:szCs w:val="18"/>
              </w:rPr>
              <w:t xml:space="preserve"> 0.1 %</w:t>
            </w:r>
            <w:r>
              <w:rPr>
                <w:rFonts w:hint="eastAsia" w:ascii="宋体" w:hAnsi="宋体" w:eastAsia="宋体" w:cstheme="minorBidi"/>
                <w:sz w:val="18"/>
                <w:szCs w:val="18"/>
              </w:rPr>
              <w:t>，在企业核算能耗值基础上减/增</w:t>
            </w:r>
            <w:r>
              <w:rPr>
                <w:rFonts w:ascii="宋体" w:hAnsi="宋体" w:eastAsia="宋体" w:cstheme="minorBidi"/>
                <w:sz w:val="18"/>
                <w:szCs w:val="18"/>
              </w:rPr>
              <w:t xml:space="preserve"> 5 kgce/t</w:t>
            </w:r>
            <w:r>
              <w:rPr>
                <w:rFonts w:hint="eastAsia" w:ascii="宋体" w:hAnsi="宋体" w:eastAsia="宋体" w:cstheme="minorBidi"/>
                <w:sz w:val="18"/>
                <w:szCs w:val="18"/>
              </w:rPr>
              <w:t>。</w:t>
            </w:r>
          </w:p>
          <w:p w14:paraId="09D92E3A">
            <w:pPr>
              <w:pStyle w:val="24"/>
              <w:tabs>
                <w:tab w:val="right" w:leader="dot" w:pos="8931"/>
              </w:tabs>
              <w:ind w:left="140" w:leftChars="50" w:right="230" w:rightChars="82" w:firstLine="360"/>
              <w:rPr>
                <w:rFonts w:hint="eastAsia" w:ascii="Times New Roman" w:eastAsiaTheme="minorEastAsia"/>
                <w:sz w:val="18"/>
                <w:szCs w:val="18"/>
              </w:rPr>
            </w:pPr>
            <w:r>
              <w:rPr>
                <w:rFonts w:hint="eastAsia" w:ascii="黑体" w:hAnsi="黑体" w:eastAsia="黑体"/>
                <w:sz w:val="18"/>
                <w:szCs w:val="18"/>
              </w:rPr>
              <w:t>注</w:t>
            </w:r>
            <w:r>
              <w:rPr>
                <w:rFonts w:ascii="黑体" w:hAnsi="黑体" w:eastAsia="黑体"/>
                <w:sz w:val="18"/>
                <w:szCs w:val="18"/>
              </w:rPr>
              <w:t>2</w:t>
            </w:r>
            <w:r>
              <w:rPr>
                <w:rFonts w:hint="eastAsia" w:ascii="黑体" w:hAnsi="黑体" w:eastAsia="黑体"/>
                <w:sz w:val="18"/>
                <w:szCs w:val="18"/>
              </w:rPr>
              <w:t>：</w:t>
            </w:r>
            <w:r>
              <w:rPr>
                <w:rFonts w:hint="eastAsia"/>
                <w:sz w:val="18"/>
                <w:szCs w:val="18"/>
              </w:rPr>
              <w:t>高炉工序实施超低排放改造且通过超低排放公示的企业，</w:t>
            </w:r>
            <w:r>
              <w:rPr>
                <w:rFonts w:hint="eastAsia" w:ascii="Times New Roman"/>
                <w:sz w:val="18"/>
                <w:szCs w:val="18"/>
              </w:rPr>
              <w:t>在企业核算能耗值基础上减少 3</w:t>
            </w:r>
            <w:r>
              <w:rPr>
                <w:rFonts w:ascii="Times New Roman"/>
                <w:sz w:val="18"/>
                <w:szCs w:val="18"/>
              </w:rPr>
              <w:t xml:space="preserve"> </w:t>
            </w:r>
            <w:r>
              <w:rPr>
                <w:rFonts w:ascii="Times New Roman" w:eastAsiaTheme="minorEastAsia"/>
                <w:sz w:val="18"/>
                <w:szCs w:val="18"/>
              </w:rPr>
              <w:t>kgce/t</w:t>
            </w:r>
            <w:r>
              <w:rPr>
                <w:rFonts w:hint="eastAsia" w:ascii="Times New Roman" w:eastAsiaTheme="minorEastAsia"/>
                <w:sz w:val="18"/>
                <w:szCs w:val="18"/>
              </w:rPr>
              <w:t>。</w:t>
            </w:r>
          </w:p>
          <w:p w14:paraId="6BCF12D3">
            <w:pPr>
              <w:pStyle w:val="24"/>
              <w:ind w:left="140" w:leftChars="50" w:firstLine="360"/>
              <w:rPr>
                <w:rFonts w:hint="eastAsia" w:ascii="Times New Roman" w:eastAsiaTheme="minorEastAsia"/>
                <w:sz w:val="18"/>
                <w:szCs w:val="18"/>
              </w:rPr>
            </w:pPr>
            <w:r>
              <w:rPr>
                <w:rFonts w:hint="eastAsia" w:ascii="黑体" w:hAnsi="黑体" w:eastAsia="黑体"/>
                <w:sz w:val="18"/>
                <w:szCs w:val="18"/>
              </w:rPr>
              <w:t>注</w:t>
            </w:r>
            <w:r>
              <w:rPr>
                <w:rFonts w:ascii="黑体" w:hAnsi="黑体" w:eastAsia="黑体"/>
                <w:sz w:val="18"/>
                <w:szCs w:val="18"/>
              </w:rPr>
              <w:t>3</w:t>
            </w:r>
            <w:r>
              <w:rPr>
                <w:rFonts w:hint="eastAsia" w:ascii="黑体" w:hAnsi="黑体" w:eastAsia="黑体"/>
                <w:sz w:val="18"/>
                <w:szCs w:val="18"/>
              </w:rPr>
              <w:t>：</w:t>
            </w:r>
            <w:r>
              <w:rPr>
                <w:rFonts w:hint="eastAsia"/>
                <w:sz w:val="18"/>
                <w:szCs w:val="18"/>
              </w:rPr>
              <w:t>入炉矿品位基准值为</w:t>
            </w:r>
            <w:r>
              <w:rPr>
                <w:rFonts w:hint="eastAsia" w:ascii="Times New Roman" w:eastAsiaTheme="minorEastAsia"/>
                <w:sz w:val="18"/>
                <w:szCs w:val="18"/>
              </w:rPr>
              <w:t xml:space="preserve"> 58 %，</w:t>
            </w:r>
            <w:r>
              <w:rPr>
                <w:rFonts w:hint="eastAsia"/>
                <w:sz w:val="18"/>
                <w:szCs w:val="18"/>
              </w:rPr>
              <w:t>品位每增/减</w:t>
            </w:r>
            <w:r>
              <w:rPr>
                <w:rFonts w:hint="eastAsia" w:ascii="Times New Roman" w:eastAsiaTheme="minorEastAsia"/>
                <w:sz w:val="18"/>
                <w:szCs w:val="18"/>
              </w:rPr>
              <w:t xml:space="preserve"> 1 %</w:t>
            </w:r>
            <w:r>
              <w:rPr>
                <w:rFonts w:hint="eastAsia"/>
                <w:sz w:val="18"/>
                <w:szCs w:val="18"/>
              </w:rPr>
              <w:t>，在企业核算能耗值基础上增/减</w:t>
            </w:r>
            <w:r>
              <w:rPr>
                <w:rFonts w:hint="eastAsia" w:ascii="Times New Roman" w:eastAsiaTheme="minorEastAsia"/>
                <w:sz w:val="18"/>
                <w:szCs w:val="18"/>
              </w:rPr>
              <w:t xml:space="preserve"> 3.61 kgce/t</w:t>
            </w:r>
            <w:r>
              <w:rPr>
                <w:rFonts w:hint="eastAsia"/>
                <w:sz w:val="18"/>
                <w:szCs w:val="18"/>
              </w:rPr>
              <w:t>。</w:t>
            </w:r>
          </w:p>
          <w:p w14:paraId="02122BDB">
            <w:pPr>
              <w:pStyle w:val="24"/>
              <w:ind w:left="140" w:leftChars="50" w:firstLine="360"/>
              <w:rPr>
                <w:rFonts w:hint="eastAsia" w:ascii="Times New Roman" w:eastAsiaTheme="minorEastAsia"/>
                <w:sz w:val="18"/>
                <w:szCs w:val="18"/>
              </w:rPr>
            </w:pPr>
            <w:r>
              <w:rPr>
                <w:rFonts w:hint="eastAsia" w:ascii="黑体" w:hAnsi="黑体" w:eastAsia="黑体"/>
                <w:sz w:val="18"/>
                <w:szCs w:val="18"/>
              </w:rPr>
              <w:t>注</w:t>
            </w:r>
            <w:r>
              <w:rPr>
                <w:rFonts w:ascii="黑体" w:hAnsi="黑体" w:eastAsia="黑体"/>
                <w:sz w:val="18"/>
                <w:szCs w:val="18"/>
              </w:rPr>
              <w:t>4</w:t>
            </w:r>
            <w:r>
              <w:rPr>
                <w:rFonts w:hint="eastAsia" w:ascii="黑体" w:hAnsi="黑体" w:eastAsia="黑体"/>
                <w:sz w:val="18"/>
                <w:szCs w:val="18"/>
              </w:rPr>
              <w:t>：</w:t>
            </w:r>
            <w:r>
              <w:rPr>
                <w:rFonts w:hint="eastAsia"/>
                <w:sz w:val="18"/>
                <w:szCs w:val="18"/>
              </w:rPr>
              <w:t>电力折标系数采用当量值</w:t>
            </w:r>
            <w:r>
              <w:rPr>
                <w:rFonts w:hint="eastAsia" w:ascii="Times New Roman" w:eastAsiaTheme="minorEastAsia"/>
                <w:sz w:val="18"/>
                <w:szCs w:val="18"/>
              </w:rPr>
              <w:t xml:space="preserve"> </w:t>
            </w:r>
            <w:r>
              <w:rPr>
                <w:rFonts w:ascii="Times New Roman" w:eastAsiaTheme="minorEastAsia"/>
                <w:sz w:val="18"/>
                <w:szCs w:val="18"/>
              </w:rPr>
              <w:t>0.1229 kgce/kWh</w:t>
            </w:r>
            <w:r>
              <w:rPr>
                <w:rFonts w:hint="eastAsia" w:ascii="Times New Roman" w:eastAsiaTheme="minorEastAsia"/>
                <w:sz w:val="18"/>
                <w:szCs w:val="18"/>
              </w:rPr>
              <w:t>。</w:t>
            </w:r>
          </w:p>
          <w:p w14:paraId="0E292623">
            <w:pPr>
              <w:pStyle w:val="24"/>
              <w:ind w:left="140" w:leftChars="50" w:right="230" w:rightChars="82" w:firstLine="360"/>
              <w:rPr>
                <w:rFonts w:hint="eastAsia" w:ascii="Times New Roman"/>
                <w:sz w:val="18"/>
              </w:rPr>
            </w:pPr>
            <w:r>
              <w:rPr>
                <w:rFonts w:hint="eastAsia" w:ascii="黑体" w:hAnsi="黑体" w:eastAsia="黑体"/>
                <w:sz w:val="18"/>
                <w:szCs w:val="18"/>
              </w:rPr>
              <w:t>注</w:t>
            </w:r>
            <w:r>
              <w:rPr>
                <w:rFonts w:ascii="黑体" w:hAnsi="黑体" w:eastAsia="黑体"/>
                <w:sz w:val="18"/>
                <w:szCs w:val="18"/>
              </w:rPr>
              <w:t>5</w:t>
            </w:r>
            <w:r>
              <w:rPr>
                <w:rFonts w:hint="eastAsia" w:ascii="黑体" w:hAnsi="黑体" w:eastAsia="黑体"/>
                <w:sz w:val="18"/>
                <w:szCs w:val="18"/>
              </w:rPr>
              <w:t>：</w:t>
            </w:r>
            <w:r>
              <w:rPr>
                <w:rFonts w:hint="eastAsia" w:ascii="Times New Roman"/>
                <w:sz w:val="18"/>
                <w:szCs w:val="18"/>
              </w:rPr>
              <w:t>高炉原料中稀土矿、钒钛磁铁矿用量基准值为 0</w:t>
            </w:r>
            <w:r>
              <w:rPr>
                <w:rFonts w:ascii="Times New Roman"/>
                <w:sz w:val="18"/>
                <w:szCs w:val="18"/>
              </w:rPr>
              <w:t xml:space="preserve"> </w:t>
            </w:r>
            <w:r>
              <w:rPr>
                <w:rFonts w:hint="eastAsia" w:ascii="Times New Roman"/>
                <w:sz w:val="18"/>
                <w:szCs w:val="18"/>
              </w:rPr>
              <w:t>%，高炉工序实际用量每增加 1</w:t>
            </w:r>
            <w:r>
              <w:rPr>
                <w:rFonts w:ascii="Times New Roman"/>
                <w:sz w:val="18"/>
                <w:szCs w:val="18"/>
              </w:rPr>
              <w:t xml:space="preserve"> </w:t>
            </w:r>
            <w:r>
              <w:rPr>
                <w:rFonts w:hint="eastAsia" w:ascii="Times New Roman"/>
                <w:sz w:val="18"/>
                <w:szCs w:val="18"/>
              </w:rPr>
              <w:t>%，在企业核算能耗值基础上减少 0.3</w:t>
            </w:r>
            <w:r>
              <w:rPr>
                <w:rFonts w:ascii="Times New Roman"/>
                <w:sz w:val="18"/>
                <w:szCs w:val="18"/>
              </w:rPr>
              <w:t xml:space="preserve"> </w:t>
            </w:r>
            <w:r>
              <w:rPr>
                <w:rFonts w:hint="eastAsia" w:ascii="Times New Roman"/>
                <w:sz w:val="18"/>
                <w:szCs w:val="18"/>
              </w:rPr>
              <w:t>kgce/t。</w:t>
            </w:r>
          </w:p>
        </w:tc>
      </w:tr>
    </w:tbl>
    <w:p w14:paraId="03AC3E9E">
      <w:pPr>
        <w:spacing w:before="156" w:beforeLines="50" w:after="156" w:afterLines="50" w:line="440" w:lineRule="exact"/>
        <w:outlineLvl w:val="0"/>
        <w:rPr>
          <w:rFonts w:hint="eastAsia" w:asciiTheme="minorEastAsia" w:hAnsiTheme="minorEastAsia" w:eastAsiaTheme="minorEastAsia" w:cstheme="minorEastAsia"/>
          <w:b/>
          <w:sz w:val="24"/>
          <w:szCs w:val="24"/>
        </w:rPr>
      </w:pPr>
    </w:p>
    <w:p w14:paraId="3570496B">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主要试验（或验证）情况分析</w:t>
      </w:r>
    </w:p>
    <w:p w14:paraId="2FBD50B5">
      <w:pPr>
        <w:pStyle w:val="17"/>
        <w:numPr>
          <w:ilvl w:val="0"/>
          <w:numId w:val="4"/>
        </w:numPr>
        <w:adjustRightInd w:val="0"/>
        <w:snapToGrid w:val="0"/>
        <w:spacing w:before="0" w:beforeAutospacing="0" w:after="0" w:afterAutospacing="0" w:line="360" w:lineRule="auto"/>
        <w:ind w:left="0" w:firstLine="482" w:firstLineChars="200"/>
        <w:rPr>
          <w:rFonts w:hint="eastAsia" w:asciiTheme="minorEastAsia" w:hAnsiTheme="minorEastAsia" w:eastAsiaTheme="minorEastAsia" w:cstheme="minorEastAsia"/>
          <w:iCs/>
          <w:kern w:val="2"/>
          <w:sz w:val="21"/>
          <w:szCs w:val="21"/>
        </w:rPr>
      </w:pPr>
      <w:r>
        <w:rPr>
          <w:rFonts w:hint="eastAsia" w:asciiTheme="minorEastAsia" w:hAnsiTheme="minorEastAsia" w:eastAsiaTheme="minorEastAsia" w:cstheme="minorEastAsia"/>
          <w:b/>
          <w:bCs/>
          <w:iCs/>
          <w:kern w:val="2"/>
        </w:rPr>
        <w:t>行业现状与数据调研情况</w:t>
      </w:r>
    </w:p>
    <w:p w14:paraId="0CCE0A7F">
      <w:pPr>
        <w:pStyle w:val="24"/>
        <w:spacing w:line="360" w:lineRule="auto"/>
        <w:ind w:firstLine="420"/>
        <w:rPr>
          <w:rFonts w:hint="eastAsia"/>
          <w:color w:val="000000" w:themeColor="text1"/>
          <w14:textFill>
            <w14:solidFill>
              <w14:schemeClr w14:val="tx1"/>
            </w14:solidFill>
          </w14:textFill>
        </w:rPr>
      </w:pPr>
      <w:r>
        <w:rPr>
          <w:color w:val="000000" w:themeColor="text1"/>
          <w14:textFill>
            <w14:solidFill>
              <w14:schemeClr w14:val="tx1"/>
            </w14:solidFill>
          </w14:textFill>
        </w:rPr>
        <w:t>我国铸造用生铁生产企业约120家左右，其中高炉200m</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以下、200-300m</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、300m</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以上企业各占三分之一。根据中铸协统计，我国铸造用生铁企业2024年产量约1500万吨，其中球墨铸铁用生铁约900万吨，高纯生铁及风电用生铁</w:t>
      </w:r>
      <w:r>
        <w:rPr>
          <w:rFonts w:hint="eastAsia"/>
          <w:color w:val="000000" w:themeColor="text1"/>
          <w14:textFill>
            <w14:solidFill>
              <w14:schemeClr w14:val="tx1"/>
            </w14:solidFill>
          </w14:textFill>
        </w:rPr>
        <w:t>约</w:t>
      </w:r>
      <w:r>
        <w:rPr>
          <w:color w:val="000000" w:themeColor="text1"/>
          <w14:textFill>
            <w14:solidFill>
              <w14:schemeClr w14:val="tx1"/>
            </w14:solidFill>
          </w14:textFill>
        </w:rPr>
        <w:t>200万吨，灰铁用生铁</w:t>
      </w:r>
      <w:r>
        <w:rPr>
          <w:rFonts w:hint="eastAsia"/>
          <w:color w:val="000000" w:themeColor="text1"/>
          <w14:textFill>
            <w14:solidFill>
              <w14:schemeClr w14:val="tx1"/>
            </w14:solidFill>
          </w14:textFill>
        </w:rPr>
        <w:t>约</w:t>
      </w:r>
      <w:r>
        <w:rPr>
          <w:color w:val="000000" w:themeColor="text1"/>
          <w14:textFill>
            <w14:solidFill>
              <w14:schemeClr w14:val="tx1"/>
            </w14:solidFill>
          </w14:textFill>
        </w:rPr>
        <w:t>400万吨</w:t>
      </w:r>
      <w:r>
        <w:rPr>
          <w:rFonts w:hint="eastAsia"/>
          <w:color w:val="000000" w:themeColor="text1"/>
          <w14:textFill>
            <w14:solidFill>
              <w14:schemeClr w14:val="tx1"/>
            </w14:solidFill>
          </w14:textFill>
        </w:rPr>
        <w:t>。</w:t>
      </w:r>
    </w:p>
    <w:p w14:paraId="660F9753">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为了更好地了解铸造用生铁企业的能源消耗及能源管理现状，编制组对30家铸造用生铁进行了企业问卷调研，对其中10家企业进行现场调研。30家企业中高炉200m3以下、200-300m3、300m3以上企业数量均为10家。现场调研企业类型主要选取数据相对详实、企业全年正常生产的企业，同时兼顾有、无球团工序企业，短流程铸造的企业。</w:t>
      </w:r>
    </w:p>
    <w:p w14:paraId="57755C56">
      <w:pPr>
        <w:pStyle w:val="17"/>
        <w:numPr>
          <w:ilvl w:val="0"/>
          <w:numId w:val="4"/>
        </w:numPr>
        <w:adjustRightInd w:val="0"/>
        <w:snapToGrid w:val="0"/>
        <w:spacing w:before="0" w:beforeAutospacing="0" w:after="0" w:afterAutospacing="0" w:line="360" w:lineRule="auto"/>
        <w:ind w:left="0" w:firstLine="482" w:firstLineChars="200"/>
        <w:rPr>
          <w:rFonts w:hint="eastAsia" w:asciiTheme="minorEastAsia" w:hAnsiTheme="minorEastAsia" w:eastAsiaTheme="minorEastAsia" w:cstheme="minorEastAsia"/>
          <w:b/>
          <w:bCs/>
          <w:iCs/>
          <w:kern w:val="2"/>
        </w:rPr>
      </w:pPr>
      <w:r>
        <w:rPr>
          <w:rFonts w:hint="eastAsia" w:asciiTheme="minorEastAsia" w:hAnsiTheme="minorEastAsia" w:eastAsiaTheme="minorEastAsia" w:cstheme="minorEastAsia"/>
          <w:b/>
          <w:bCs/>
          <w:iCs/>
          <w:kern w:val="2"/>
        </w:rPr>
        <w:t>基本原则</w:t>
      </w:r>
    </w:p>
    <w:p w14:paraId="4C6443E8">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能耗数据来源采用问卷调查的形式，现场调研数据不低于总数据量的20%，数据明显偏离的应进行复核验证；</w:t>
      </w:r>
    </w:p>
    <w:p w14:paraId="3D8DEE01">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调研企业熔炼工序设备均至少正式生产12个月以上。</w:t>
      </w:r>
    </w:p>
    <w:p w14:paraId="08F06439">
      <w:pPr>
        <w:pStyle w:val="17"/>
        <w:numPr>
          <w:ilvl w:val="0"/>
          <w:numId w:val="4"/>
        </w:numPr>
        <w:adjustRightInd w:val="0"/>
        <w:snapToGrid w:val="0"/>
        <w:spacing w:before="0" w:beforeAutospacing="0" w:after="0" w:afterAutospacing="0" w:line="360" w:lineRule="auto"/>
        <w:ind w:left="0" w:firstLine="482" w:firstLineChars="200"/>
        <w:rPr>
          <w:rFonts w:hint="eastAsia" w:asciiTheme="minorEastAsia" w:hAnsiTheme="minorEastAsia" w:eastAsiaTheme="minorEastAsia" w:cstheme="minorEastAsia"/>
          <w:b/>
          <w:bCs/>
          <w:iCs/>
          <w:kern w:val="2"/>
        </w:rPr>
      </w:pPr>
      <w:r>
        <w:rPr>
          <w:rFonts w:hint="eastAsia" w:asciiTheme="minorEastAsia" w:hAnsiTheme="minorEastAsia" w:eastAsiaTheme="minorEastAsia" w:cstheme="minorEastAsia"/>
          <w:b/>
          <w:bCs/>
          <w:iCs/>
          <w:kern w:val="2"/>
        </w:rPr>
        <w:t>相关标准研究现状</w:t>
      </w:r>
    </w:p>
    <w:p w14:paraId="0941999B">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目前，我国能源管理方面的标准多数是各行业通用的基础性标准，主要有GB/T 23331-2012《能源管理体系 要求》、GB/T 15587-2008《工业企业能源管理导则》、GB 17167-2006《用能单位能源计量器具配备和管理通则》、GB/T 12723-2008《单位产品能源消耗编制通则》、GB/T2589—2008《综合能耗计算通则》、GB/T 13234-2009《企业节能量计算方法》等。</w:t>
      </w:r>
    </w:p>
    <w:p w14:paraId="046208D2">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铸造用生铁能源消耗等级方面的标准目前没有相关国家、行业和地方标准，仅有中国铸造协会发布的</w:t>
      </w:r>
      <w:r>
        <w:rPr>
          <w:color w:val="000000" w:themeColor="text1"/>
          <w14:textFill>
            <w14:solidFill>
              <w14:schemeClr w14:val="tx1"/>
            </w14:solidFill>
          </w14:textFill>
        </w:rPr>
        <w:t>《铸造用生铁生产主要工序单位产品能源消耗限额》(T/CFA 0306031—2023)</w:t>
      </w:r>
      <w:r>
        <w:rPr>
          <w:rFonts w:hint="eastAsia"/>
          <w:color w:val="000000" w:themeColor="text1"/>
          <w14:textFill>
            <w14:solidFill>
              <w14:schemeClr w14:val="tx1"/>
            </w14:solidFill>
          </w14:textFill>
        </w:rPr>
        <w:t>，地方政府一般要求铸造用生铁企业按照《</w:t>
      </w:r>
      <w:r>
        <w:rPr>
          <w:color w:val="000000" w:themeColor="text1"/>
          <w14:textFill>
            <w14:solidFill>
              <w14:schemeClr w14:val="tx1"/>
            </w14:solidFill>
          </w14:textFill>
        </w:rPr>
        <w:t>粗钢生产主要工序单位产品能源消耗限额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GB 21256</w:t>
      </w:r>
      <w:r>
        <w:rPr>
          <w:rFonts w:hint="eastAsia"/>
          <w:color w:val="000000" w:themeColor="text1"/>
          <w14:textFill>
            <w14:solidFill>
              <w14:schemeClr w14:val="tx1"/>
            </w14:solidFill>
          </w14:textFill>
        </w:rPr>
        <w:t>）进行对标达标，企业内部对标一般采用</w:t>
      </w:r>
      <w:bookmarkStart w:id="10" w:name="OLE_LINK17"/>
      <w:r>
        <w:rPr>
          <w:color w:val="000000" w:themeColor="text1"/>
          <w14:textFill>
            <w14:solidFill>
              <w14:schemeClr w14:val="tx1"/>
            </w14:solidFill>
          </w14:textFill>
        </w:rPr>
        <w:t>《铸造用生铁生产主要工序单位产品能源消耗限额》(T/CFA 0306031—2023)</w:t>
      </w:r>
      <w:bookmarkEnd w:id="10"/>
      <w:r>
        <w:rPr>
          <w:rFonts w:hint="eastAsia"/>
          <w:color w:val="000000" w:themeColor="text1"/>
          <w14:textFill>
            <w14:solidFill>
              <w14:schemeClr w14:val="tx1"/>
            </w14:solidFill>
          </w14:textFill>
        </w:rPr>
        <w:t>。</w:t>
      </w:r>
    </w:p>
    <w:p w14:paraId="162DC060">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如总体而言，目前我国缺少铸造用生铁生产的能耗标准，这方面标准的研究和制定工作比较滞后，已经与新的生产模式不匹配。因此对当前生铁行业生产过程中的能耗数据进行深入调查分析，研究制定专用的铸造用生铁生产的主要工序单位产品能耗等级标准非常必要。</w:t>
      </w:r>
    </w:p>
    <w:p w14:paraId="0CDF6A02">
      <w:pPr>
        <w:pStyle w:val="17"/>
        <w:numPr>
          <w:ilvl w:val="0"/>
          <w:numId w:val="4"/>
        </w:numPr>
        <w:adjustRightInd w:val="0"/>
        <w:snapToGrid w:val="0"/>
        <w:spacing w:before="0" w:beforeAutospacing="0" w:after="0" w:afterAutospacing="0" w:line="360" w:lineRule="auto"/>
        <w:ind w:left="0" w:firstLine="482" w:firstLineChars="200"/>
        <w:rPr>
          <w:rFonts w:hint="eastAsia" w:asciiTheme="minorEastAsia" w:hAnsiTheme="minorEastAsia" w:eastAsiaTheme="minorEastAsia" w:cstheme="minorEastAsia"/>
          <w:b/>
          <w:bCs/>
          <w:iCs/>
          <w:kern w:val="2"/>
        </w:rPr>
      </w:pPr>
      <w:r>
        <w:rPr>
          <w:rFonts w:hint="eastAsia" w:asciiTheme="minorEastAsia" w:hAnsiTheme="minorEastAsia" w:eastAsiaTheme="minorEastAsia" w:cstheme="minorEastAsia"/>
          <w:b/>
          <w:bCs/>
          <w:iCs/>
          <w:kern w:val="2"/>
        </w:rPr>
        <w:t xml:space="preserve"> 已有标准的能耗数据分析</w:t>
      </w:r>
    </w:p>
    <w:p w14:paraId="692354E7">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本标准关键指标要低于</w:t>
      </w:r>
      <w:r>
        <w:rPr>
          <w:color w:val="000000" w:themeColor="text1"/>
          <w14:textFill>
            <w14:solidFill>
              <w14:schemeClr w14:val="tx1"/>
            </w14:solidFill>
          </w14:textFill>
        </w:rPr>
        <w:t>GB 21256</w:t>
      </w:r>
      <w:r>
        <w:rPr>
          <w:rFonts w:hint="eastAsia"/>
          <w:color w:val="000000" w:themeColor="text1"/>
          <w14:textFill>
            <w14:solidFill>
              <w14:schemeClr w14:val="tx1"/>
            </w14:solidFill>
          </w14:textFill>
        </w:rPr>
        <w:t>。详见表4。</w:t>
      </w:r>
    </w:p>
    <w:p w14:paraId="5113ECC7">
      <w:pPr>
        <w:pStyle w:val="21"/>
        <w:spacing w:before="156" w:after="156"/>
        <w:rPr>
          <w:rFonts w:hint="eastAsia" w:hAnsi="黑体" w:cs="黑体"/>
          <w:szCs w:val="21"/>
        </w:rPr>
      </w:pPr>
      <w:r>
        <w:rPr>
          <w:rFonts w:hint="eastAsia" w:hAnsi="黑体" w:cs="黑体"/>
          <w:szCs w:val="21"/>
        </w:rPr>
        <w:t xml:space="preserve"> 标准指标对比</w:t>
      </w:r>
    </w:p>
    <w:tbl>
      <w:tblPr>
        <w:tblStyle w:val="9"/>
        <w:tblW w:w="9640" w:type="dxa"/>
        <w:tblInd w:w="0" w:type="dxa"/>
        <w:tblLayout w:type="autofit"/>
        <w:tblCellMar>
          <w:top w:w="0" w:type="dxa"/>
          <w:left w:w="0" w:type="dxa"/>
          <w:bottom w:w="0" w:type="dxa"/>
          <w:right w:w="0" w:type="dxa"/>
        </w:tblCellMar>
      </w:tblPr>
      <w:tblGrid>
        <w:gridCol w:w="1833"/>
        <w:gridCol w:w="2977"/>
        <w:gridCol w:w="1701"/>
        <w:gridCol w:w="1559"/>
        <w:gridCol w:w="1570"/>
      </w:tblGrid>
      <w:tr w14:paraId="6DA1B910">
        <w:tblPrEx>
          <w:tblCellMar>
            <w:top w:w="0" w:type="dxa"/>
            <w:left w:w="0" w:type="dxa"/>
            <w:bottom w:w="0" w:type="dxa"/>
            <w:right w:w="0" w:type="dxa"/>
          </w:tblCellMar>
        </w:tblPrEx>
        <w:trPr>
          <w:trHeight w:val="389" w:hRule="atLeast"/>
        </w:trPr>
        <w:tc>
          <w:tcPr>
            <w:tcW w:w="4810" w:type="dxa"/>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077FFE97">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单位产品能耗限额等级</w:t>
            </w:r>
          </w:p>
        </w:tc>
        <w:tc>
          <w:tcPr>
            <w:tcW w:w="170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14:paraId="54569516">
            <w:pPr>
              <w:snapToGrid w:val="0"/>
              <w:spacing w:before="156" w:beforeLines="50" w:after="156" w:afterLines="50" w:line="360" w:lineRule="auto"/>
              <w:jc w:val="center"/>
              <w:outlineLvl w:val="0"/>
              <w:rPr>
                <w:rFonts w:hint="eastAsia" w:ascii="宋体" w:hAnsi="宋体" w:eastAsia="宋体"/>
                <w:sz w:val="18"/>
                <w:szCs w:val="18"/>
              </w:rPr>
            </w:pPr>
            <w:r>
              <w:rPr>
                <w:rFonts w:ascii="宋体" w:hAnsi="宋体" w:eastAsia="宋体"/>
                <w:sz w:val="18"/>
                <w:szCs w:val="18"/>
              </w:rPr>
              <w:t>1</w:t>
            </w:r>
            <w:r>
              <w:rPr>
                <w:rFonts w:hint="eastAsia" w:ascii="宋体" w:hAnsi="宋体" w:eastAsia="宋体"/>
                <w:sz w:val="18"/>
                <w:szCs w:val="18"/>
              </w:rPr>
              <w:t>级</w:t>
            </w:r>
          </w:p>
        </w:tc>
        <w:tc>
          <w:tcPr>
            <w:tcW w:w="155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18A2499B">
            <w:pPr>
              <w:snapToGrid w:val="0"/>
              <w:spacing w:before="156" w:beforeLines="50" w:after="156" w:afterLines="50" w:line="360" w:lineRule="auto"/>
              <w:jc w:val="center"/>
              <w:outlineLvl w:val="0"/>
              <w:rPr>
                <w:rFonts w:hint="eastAsia" w:ascii="宋体" w:hAnsi="宋体" w:eastAsia="宋体"/>
                <w:sz w:val="18"/>
                <w:szCs w:val="18"/>
              </w:rPr>
            </w:pPr>
            <w:r>
              <w:rPr>
                <w:rFonts w:ascii="宋体" w:hAnsi="宋体" w:eastAsia="宋体"/>
                <w:sz w:val="18"/>
                <w:szCs w:val="18"/>
              </w:rPr>
              <w:t>2</w:t>
            </w:r>
            <w:r>
              <w:rPr>
                <w:rFonts w:hint="eastAsia" w:ascii="宋体" w:hAnsi="宋体" w:eastAsia="宋体"/>
                <w:sz w:val="18"/>
                <w:szCs w:val="18"/>
              </w:rPr>
              <w:t>级</w:t>
            </w:r>
          </w:p>
        </w:tc>
        <w:tc>
          <w:tcPr>
            <w:tcW w:w="157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24EE8645">
            <w:pPr>
              <w:snapToGrid w:val="0"/>
              <w:spacing w:before="156" w:beforeLines="50" w:after="156" w:afterLines="50" w:line="360" w:lineRule="auto"/>
              <w:jc w:val="center"/>
              <w:outlineLvl w:val="0"/>
              <w:rPr>
                <w:rFonts w:hint="eastAsia" w:ascii="宋体" w:hAnsi="宋体" w:eastAsia="宋体"/>
                <w:sz w:val="18"/>
                <w:szCs w:val="18"/>
              </w:rPr>
            </w:pPr>
            <w:r>
              <w:rPr>
                <w:rFonts w:ascii="宋体" w:hAnsi="宋体" w:eastAsia="宋体"/>
                <w:sz w:val="18"/>
                <w:szCs w:val="18"/>
              </w:rPr>
              <w:t>3</w:t>
            </w:r>
            <w:r>
              <w:rPr>
                <w:rFonts w:hint="eastAsia" w:ascii="宋体" w:hAnsi="宋体" w:eastAsia="宋体"/>
                <w:sz w:val="18"/>
                <w:szCs w:val="18"/>
              </w:rPr>
              <w:t>级</w:t>
            </w:r>
          </w:p>
        </w:tc>
      </w:tr>
      <w:tr w14:paraId="52446679">
        <w:tblPrEx>
          <w:tblCellMar>
            <w:top w:w="0" w:type="dxa"/>
            <w:left w:w="0" w:type="dxa"/>
            <w:bottom w:w="0" w:type="dxa"/>
            <w:right w:w="0" w:type="dxa"/>
          </w:tblCellMar>
        </w:tblPrEx>
        <w:trPr>
          <w:trHeight w:val="200" w:hRule="atLeast"/>
        </w:trPr>
        <w:tc>
          <w:tcPr>
            <w:tcW w:w="1833" w:type="dxa"/>
            <w:vMerge w:val="restart"/>
            <w:tcBorders>
              <w:top w:val="single" w:color="000000" w:sz="8" w:space="0"/>
              <w:left w:val="single" w:color="000000" w:sz="8" w:space="0"/>
              <w:right w:val="single" w:color="auto" w:sz="4" w:space="0"/>
            </w:tcBorders>
            <w:tcMar>
              <w:top w:w="15" w:type="dxa"/>
              <w:left w:w="15" w:type="dxa"/>
              <w:bottom w:w="0" w:type="dxa"/>
              <w:right w:w="15" w:type="dxa"/>
            </w:tcMar>
            <w:vAlign w:val="center"/>
          </w:tcPr>
          <w:p w14:paraId="39AEF652">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烧结工序</w:t>
            </w:r>
            <w:bookmarkStart w:id="11" w:name="OLE_LINK19"/>
            <w:r>
              <w:rPr>
                <w:rFonts w:ascii="宋体" w:hAnsi="宋体" w:eastAsia="宋体"/>
                <w:sz w:val="18"/>
                <w:szCs w:val="18"/>
              </w:rPr>
              <w:t>kgce/t</w:t>
            </w:r>
            <w:bookmarkEnd w:id="11"/>
          </w:p>
        </w:tc>
        <w:tc>
          <w:tcPr>
            <w:tcW w:w="2977" w:type="dxa"/>
            <w:tcBorders>
              <w:top w:val="single" w:color="000000" w:sz="8" w:space="0"/>
              <w:left w:val="single" w:color="auto" w:sz="4" w:space="0"/>
              <w:bottom w:val="single" w:color="auto" w:sz="4" w:space="0"/>
              <w:right w:val="single" w:color="000000" w:sz="8" w:space="0"/>
            </w:tcBorders>
          </w:tcPr>
          <w:p w14:paraId="39B96392">
            <w:pPr>
              <w:snapToGrid w:val="0"/>
              <w:spacing w:before="156" w:beforeLines="50" w:after="156" w:afterLines="50" w:line="360" w:lineRule="auto"/>
              <w:ind w:firstLine="360" w:firstLineChars="200"/>
              <w:jc w:val="center"/>
              <w:outlineLvl w:val="0"/>
              <w:rPr>
                <w:rFonts w:hint="eastAsia" w:ascii="宋体" w:hAnsi="宋体" w:eastAsia="宋体"/>
                <w:sz w:val="18"/>
                <w:szCs w:val="18"/>
              </w:rPr>
            </w:pPr>
            <w:r>
              <w:rPr>
                <w:rFonts w:hint="eastAsia" w:ascii="宋体" w:hAnsi="宋体" w:eastAsia="宋体"/>
                <w:sz w:val="18"/>
                <w:szCs w:val="18"/>
              </w:rPr>
              <w:t>本标准</w:t>
            </w:r>
          </w:p>
        </w:tc>
        <w:tc>
          <w:tcPr>
            <w:tcW w:w="1701" w:type="dxa"/>
            <w:tcBorders>
              <w:top w:val="single" w:color="000000" w:sz="8" w:space="0"/>
              <w:left w:val="single" w:color="000000" w:sz="8" w:space="0"/>
              <w:bottom w:val="single" w:color="auto" w:sz="4" w:space="0"/>
              <w:right w:val="single" w:color="000000" w:sz="8" w:space="0"/>
            </w:tcBorders>
            <w:tcMar>
              <w:top w:w="15" w:type="dxa"/>
              <w:left w:w="15" w:type="dxa"/>
              <w:bottom w:w="0" w:type="dxa"/>
              <w:right w:w="15" w:type="dxa"/>
            </w:tcMar>
            <w:vAlign w:val="center"/>
          </w:tcPr>
          <w:p w14:paraId="082C7FAF">
            <w:pPr>
              <w:snapToGrid w:val="0"/>
              <w:spacing w:before="156" w:beforeLines="50" w:after="156" w:afterLines="50" w:line="360" w:lineRule="auto"/>
              <w:jc w:val="center"/>
              <w:outlineLvl w:val="0"/>
              <w:rPr>
                <w:rFonts w:hint="eastAsia" w:ascii="宋体" w:hAnsi="宋体" w:eastAsia="宋体"/>
                <w:sz w:val="18"/>
                <w:szCs w:val="18"/>
              </w:rPr>
            </w:pPr>
            <w:bookmarkStart w:id="12" w:name="OLE_LINK18"/>
            <w:r>
              <w:rPr>
                <w:rFonts w:hint="eastAsia" w:ascii="宋体" w:hAnsi="宋体" w:eastAsia="宋体"/>
                <w:sz w:val="18"/>
                <w:szCs w:val="18"/>
              </w:rPr>
              <w:t>≤</w:t>
            </w:r>
            <w:bookmarkEnd w:id="12"/>
            <w:r>
              <w:rPr>
                <w:rFonts w:ascii="宋体" w:hAnsi="宋体" w:eastAsia="宋体"/>
                <w:sz w:val="18"/>
                <w:szCs w:val="18"/>
              </w:rPr>
              <w:t>48</w:t>
            </w:r>
          </w:p>
        </w:tc>
        <w:tc>
          <w:tcPr>
            <w:tcW w:w="155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2E2B1286">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52</w:t>
            </w:r>
          </w:p>
        </w:tc>
        <w:tc>
          <w:tcPr>
            <w:tcW w:w="157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45727020">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55</w:t>
            </w:r>
          </w:p>
        </w:tc>
      </w:tr>
      <w:tr w14:paraId="27E2B050">
        <w:tblPrEx>
          <w:tblCellMar>
            <w:top w:w="0" w:type="dxa"/>
            <w:left w:w="0" w:type="dxa"/>
            <w:bottom w:w="0" w:type="dxa"/>
            <w:right w:w="0" w:type="dxa"/>
          </w:tblCellMar>
        </w:tblPrEx>
        <w:trPr>
          <w:trHeight w:val="154" w:hRule="atLeast"/>
        </w:trPr>
        <w:tc>
          <w:tcPr>
            <w:tcW w:w="1833" w:type="dxa"/>
            <w:vMerge w:val="continue"/>
            <w:tcBorders>
              <w:left w:val="single" w:color="000000" w:sz="8" w:space="0"/>
              <w:right w:val="single" w:color="auto" w:sz="4" w:space="0"/>
            </w:tcBorders>
            <w:tcMar>
              <w:top w:w="15" w:type="dxa"/>
              <w:left w:w="15" w:type="dxa"/>
              <w:bottom w:w="0" w:type="dxa"/>
              <w:right w:w="15" w:type="dxa"/>
            </w:tcMar>
          </w:tcPr>
          <w:p w14:paraId="6C4F53E4">
            <w:pPr>
              <w:snapToGrid w:val="0"/>
              <w:spacing w:before="156" w:beforeLines="50" w:after="156" w:afterLines="50" w:line="360" w:lineRule="auto"/>
              <w:ind w:firstLine="360" w:firstLineChars="200"/>
              <w:jc w:val="center"/>
              <w:outlineLvl w:val="0"/>
              <w:rPr>
                <w:rFonts w:hint="eastAsia" w:ascii="宋体" w:hAnsi="宋体" w:eastAsia="宋体"/>
                <w:sz w:val="18"/>
                <w:szCs w:val="18"/>
              </w:rPr>
            </w:pPr>
          </w:p>
        </w:tc>
        <w:tc>
          <w:tcPr>
            <w:tcW w:w="2977" w:type="dxa"/>
            <w:tcBorders>
              <w:top w:val="single" w:color="auto" w:sz="4" w:space="0"/>
              <w:left w:val="single" w:color="auto" w:sz="4" w:space="0"/>
              <w:bottom w:val="single" w:color="auto" w:sz="4" w:space="0"/>
              <w:right w:val="single" w:color="000000" w:sz="8" w:space="0"/>
            </w:tcBorders>
          </w:tcPr>
          <w:p w14:paraId="2FC5897E">
            <w:pPr>
              <w:snapToGrid w:val="0"/>
              <w:spacing w:before="156" w:beforeLines="50" w:after="156" w:afterLines="50" w:line="360" w:lineRule="auto"/>
              <w:ind w:firstLine="360" w:firstLineChars="200"/>
              <w:jc w:val="center"/>
              <w:outlineLvl w:val="0"/>
              <w:rPr>
                <w:rFonts w:hint="eastAsia" w:ascii="宋体" w:hAnsi="宋体" w:eastAsia="宋体"/>
                <w:sz w:val="18"/>
                <w:szCs w:val="18"/>
              </w:rPr>
            </w:pPr>
            <w:bookmarkStart w:id="13" w:name="OLE_LINK2"/>
            <w:r>
              <w:rPr>
                <w:rFonts w:hint="eastAsia" w:ascii="宋体" w:hAnsi="宋体" w:eastAsia="宋体" w:cstheme="minorEastAsia"/>
                <w:iCs/>
                <w:sz w:val="18"/>
                <w:szCs w:val="18"/>
              </w:rPr>
              <w:t>GB 21256</w:t>
            </w:r>
            <w:bookmarkEnd w:id="13"/>
          </w:p>
        </w:tc>
        <w:tc>
          <w:tcPr>
            <w:tcW w:w="1701" w:type="dxa"/>
            <w:tcBorders>
              <w:top w:val="single" w:color="auto" w:sz="4" w:space="0"/>
              <w:left w:val="single" w:color="000000" w:sz="8" w:space="0"/>
              <w:bottom w:val="single" w:color="auto" w:sz="4" w:space="0"/>
              <w:right w:val="single" w:color="000000" w:sz="8" w:space="0"/>
            </w:tcBorders>
            <w:tcMar>
              <w:top w:w="15" w:type="dxa"/>
              <w:left w:w="15" w:type="dxa"/>
              <w:bottom w:w="0" w:type="dxa"/>
              <w:right w:w="15" w:type="dxa"/>
            </w:tcMar>
            <w:vAlign w:val="center"/>
          </w:tcPr>
          <w:p w14:paraId="3A5234A9">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45</w:t>
            </w:r>
          </w:p>
        </w:tc>
        <w:tc>
          <w:tcPr>
            <w:tcW w:w="155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7EBB0158">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50</w:t>
            </w:r>
          </w:p>
        </w:tc>
        <w:tc>
          <w:tcPr>
            <w:tcW w:w="157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672F97E2">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55</w:t>
            </w:r>
          </w:p>
        </w:tc>
      </w:tr>
      <w:tr w14:paraId="7812B420">
        <w:tblPrEx>
          <w:tblCellMar>
            <w:top w:w="0" w:type="dxa"/>
            <w:left w:w="0" w:type="dxa"/>
            <w:bottom w:w="0" w:type="dxa"/>
            <w:right w:w="0" w:type="dxa"/>
          </w:tblCellMar>
        </w:tblPrEx>
        <w:trPr>
          <w:trHeight w:val="109" w:hRule="atLeast"/>
        </w:trPr>
        <w:tc>
          <w:tcPr>
            <w:tcW w:w="1833" w:type="dxa"/>
            <w:vMerge w:val="restart"/>
            <w:tcBorders>
              <w:top w:val="single" w:color="auto" w:sz="4" w:space="0"/>
              <w:left w:val="single" w:color="000000" w:sz="8" w:space="0"/>
              <w:right w:val="single" w:color="auto" w:sz="4" w:space="0"/>
            </w:tcBorders>
            <w:tcMar>
              <w:top w:w="15" w:type="dxa"/>
              <w:left w:w="15" w:type="dxa"/>
              <w:bottom w:w="0" w:type="dxa"/>
              <w:right w:w="15" w:type="dxa"/>
            </w:tcMar>
            <w:vAlign w:val="center"/>
          </w:tcPr>
          <w:p w14:paraId="5D49F97C">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球团工序</w:t>
            </w:r>
            <w:r>
              <w:rPr>
                <w:rFonts w:ascii="宋体" w:hAnsi="宋体" w:eastAsia="宋体"/>
                <w:sz w:val="18"/>
                <w:szCs w:val="18"/>
              </w:rPr>
              <w:t>kgce/t</w:t>
            </w:r>
          </w:p>
        </w:tc>
        <w:tc>
          <w:tcPr>
            <w:tcW w:w="2977" w:type="dxa"/>
            <w:tcBorders>
              <w:top w:val="single" w:color="auto" w:sz="4" w:space="0"/>
              <w:left w:val="single" w:color="auto" w:sz="4" w:space="0"/>
              <w:bottom w:val="single" w:color="auto" w:sz="4" w:space="0"/>
              <w:right w:val="single" w:color="000000" w:sz="8" w:space="0"/>
            </w:tcBorders>
          </w:tcPr>
          <w:p w14:paraId="79F4EFA6">
            <w:pPr>
              <w:snapToGrid w:val="0"/>
              <w:spacing w:before="156" w:beforeLines="50" w:after="156" w:afterLines="50" w:line="360" w:lineRule="auto"/>
              <w:ind w:firstLine="360" w:firstLineChars="200"/>
              <w:jc w:val="center"/>
              <w:outlineLvl w:val="0"/>
              <w:rPr>
                <w:rFonts w:hint="eastAsia" w:ascii="宋体" w:hAnsi="宋体" w:eastAsia="宋体" w:cstheme="minorEastAsia"/>
                <w:iCs/>
                <w:sz w:val="18"/>
                <w:szCs w:val="18"/>
              </w:rPr>
            </w:pPr>
            <w:r>
              <w:rPr>
                <w:rFonts w:hint="eastAsia" w:ascii="宋体" w:hAnsi="宋体" w:eastAsia="宋体"/>
                <w:sz w:val="18"/>
                <w:szCs w:val="18"/>
              </w:rPr>
              <w:t>本标准</w:t>
            </w:r>
          </w:p>
        </w:tc>
        <w:tc>
          <w:tcPr>
            <w:tcW w:w="1701" w:type="dxa"/>
            <w:tcBorders>
              <w:top w:val="single" w:color="auto" w:sz="4" w:space="0"/>
              <w:left w:val="single" w:color="000000" w:sz="8" w:space="0"/>
              <w:bottom w:val="single" w:color="auto" w:sz="4" w:space="0"/>
              <w:right w:val="single" w:color="000000" w:sz="8" w:space="0"/>
            </w:tcBorders>
            <w:tcMar>
              <w:top w:w="15" w:type="dxa"/>
              <w:left w:w="15" w:type="dxa"/>
              <w:bottom w:w="0" w:type="dxa"/>
              <w:right w:w="15" w:type="dxa"/>
            </w:tcMar>
            <w:vAlign w:val="center"/>
          </w:tcPr>
          <w:p w14:paraId="449AA44C">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28</w:t>
            </w:r>
          </w:p>
        </w:tc>
        <w:tc>
          <w:tcPr>
            <w:tcW w:w="155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7B9DCE26">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32</w:t>
            </w:r>
          </w:p>
        </w:tc>
        <w:tc>
          <w:tcPr>
            <w:tcW w:w="157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6FFA8023">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36</w:t>
            </w:r>
          </w:p>
        </w:tc>
      </w:tr>
      <w:tr w14:paraId="7E945463">
        <w:tblPrEx>
          <w:tblCellMar>
            <w:top w:w="0" w:type="dxa"/>
            <w:left w:w="0" w:type="dxa"/>
            <w:bottom w:w="0" w:type="dxa"/>
            <w:right w:w="0" w:type="dxa"/>
          </w:tblCellMar>
        </w:tblPrEx>
        <w:trPr>
          <w:trHeight w:val="109" w:hRule="atLeast"/>
        </w:trPr>
        <w:tc>
          <w:tcPr>
            <w:tcW w:w="1833" w:type="dxa"/>
            <w:vMerge w:val="continue"/>
            <w:tcBorders>
              <w:left w:val="single" w:color="000000" w:sz="8" w:space="0"/>
              <w:right w:val="single" w:color="auto" w:sz="4" w:space="0"/>
            </w:tcBorders>
            <w:tcMar>
              <w:top w:w="15" w:type="dxa"/>
              <w:left w:w="15" w:type="dxa"/>
              <w:bottom w:w="0" w:type="dxa"/>
              <w:right w:w="15" w:type="dxa"/>
            </w:tcMar>
            <w:vAlign w:val="center"/>
          </w:tcPr>
          <w:p w14:paraId="009521BF">
            <w:pPr>
              <w:snapToGrid w:val="0"/>
              <w:spacing w:before="156" w:beforeLines="50" w:after="156" w:afterLines="50" w:line="360" w:lineRule="auto"/>
              <w:ind w:firstLine="360" w:firstLineChars="200"/>
              <w:jc w:val="center"/>
              <w:outlineLvl w:val="0"/>
              <w:rPr>
                <w:rFonts w:hint="eastAsia" w:ascii="宋体" w:hAnsi="宋体" w:eastAsia="宋体"/>
                <w:sz w:val="18"/>
                <w:szCs w:val="18"/>
              </w:rPr>
            </w:pPr>
          </w:p>
        </w:tc>
        <w:tc>
          <w:tcPr>
            <w:tcW w:w="2977" w:type="dxa"/>
            <w:tcBorders>
              <w:top w:val="single" w:color="auto" w:sz="4" w:space="0"/>
              <w:left w:val="single" w:color="auto" w:sz="4" w:space="0"/>
              <w:bottom w:val="single" w:color="auto" w:sz="4" w:space="0"/>
              <w:right w:val="single" w:color="000000" w:sz="8" w:space="0"/>
            </w:tcBorders>
          </w:tcPr>
          <w:p w14:paraId="743C4213">
            <w:pPr>
              <w:snapToGrid w:val="0"/>
              <w:spacing w:before="156" w:beforeLines="50" w:after="156" w:afterLines="50" w:line="360" w:lineRule="auto"/>
              <w:ind w:firstLine="360" w:firstLineChars="200"/>
              <w:jc w:val="center"/>
              <w:outlineLvl w:val="0"/>
              <w:rPr>
                <w:rFonts w:hint="eastAsia" w:ascii="宋体" w:hAnsi="宋体" w:eastAsia="宋体" w:cstheme="minorEastAsia"/>
                <w:iCs/>
                <w:sz w:val="18"/>
                <w:szCs w:val="18"/>
              </w:rPr>
            </w:pPr>
            <w:r>
              <w:rPr>
                <w:rFonts w:hint="eastAsia" w:ascii="宋体" w:hAnsi="宋体" w:eastAsia="宋体" w:cstheme="minorEastAsia"/>
                <w:iCs/>
                <w:sz w:val="18"/>
                <w:szCs w:val="18"/>
              </w:rPr>
              <w:t>GB 21256</w:t>
            </w:r>
          </w:p>
        </w:tc>
        <w:tc>
          <w:tcPr>
            <w:tcW w:w="1701" w:type="dxa"/>
            <w:tcBorders>
              <w:top w:val="single" w:color="auto" w:sz="4" w:space="0"/>
              <w:left w:val="single" w:color="000000" w:sz="8" w:space="0"/>
              <w:bottom w:val="single" w:color="auto" w:sz="4" w:space="0"/>
              <w:right w:val="single" w:color="000000" w:sz="8" w:space="0"/>
            </w:tcBorders>
            <w:tcMar>
              <w:top w:w="15" w:type="dxa"/>
              <w:left w:w="15" w:type="dxa"/>
              <w:bottom w:w="0" w:type="dxa"/>
              <w:right w:w="15" w:type="dxa"/>
            </w:tcMar>
            <w:vAlign w:val="center"/>
          </w:tcPr>
          <w:p w14:paraId="46BFBAC1">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15</w:t>
            </w:r>
          </w:p>
        </w:tc>
        <w:tc>
          <w:tcPr>
            <w:tcW w:w="155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446C5A0D">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24</w:t>
            </w:r>
          </w:p>
        </w:tc>
        <w:tc>
          <w:tcPr>
            <w:tcW w:w="157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0BC779B2">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36</w:t>
            </w:r>
          </w:p>
        </w:tc>
      </w:tr>
      <w:tr w14:paraId="5E267399">
        <w:tblPrEx>
          <w:tblCellMar>
            <w:top w:w="0" w:type="dxa"/>
            <w:left w:w="0" w:type="dxa"/>
            <w:bottom w:w="0" w:type="dxa"/>
            <w:right w:w="0" w:type="dxa"/>
          </w:tblCellMar>
        </w:tblPrEx>
        <w:trPr>
          <w:trHeight w:val="109" w:hRule="atLeast"/>
        </w:trPr>
        <w:tc>
          <w:tcPr>
            <w:tcW w:w="1833" w:type="dxa"/>
            <w:vMerge w:val="restart"/>
            <w:tcBorders>
              <w:top w:val="single" w:color="auto" w:sz="4" w:space="0"/>
              <w:left w:val="single" w:color="000000" w:sz="8" w:space="0"/>
              <w:right w:val="single" w:color="auto" w:sz="4" w:space="0"/>
            </w:tcBorders>
            <w:tcMar>
              <w:top w:w="15" w:type="dxa"/>
              <w:left w:w="15" w:type="dxa"/>
              <w:bottom w:w="0" w:type="dxa"/>
              <w:right w:w="15" w:type="dxa"/>
            </w:tcMar>
            <w:vAlign w:val="center"/>
          </w:tcPr>
          <w:p w14:paraId="03B345E3">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高炉工序</w:t>
            </w:r>
            <w:r>
              <w:rPr>
                <w:rFonts w:ascii="宋体" w:hAnsi="宋体" w:eastAsia="宋体"/>
                <w:sz w:val="18"/>
                <w:szCs w:val="18"/>
              </w:rPr>
              <w:t>kgce/t</w:t>
            </w:r>
          </w:p>
        </w:tc>
        <w:tc>
          <w:tcPr>
            <w:tcW w:w="2977" w:type="dxa"/>
            <w:tcBorders>
              <w:top w:val="single" w:color="auto" w:sz="4" w:space="0"/>
              <w:left w:val="single" w:color="auto" w:sz="4" w:space="0"/>
              <w:bottom w:val="single" w:color="auto" w:sz="4" w:space="0"/>
              <w:right w:val="single" w:color="000000" w:sz="8" w:space="0"/>
            </w:tcBorders>
          </w:tcPr>
          <w:p w14:paraId="0F8CD528">
            <w:pPr>
              <w:snapToGrid w:val="0"/>
              <w:spacing w:before="156" w:beforeLines="50" w:after="156" w:afterLines="50" w:line="360" w:lineRule="auto"/>
              <w:ind w:firstLine="360" w:firstLineChars="200"/>
              <w:jc w:val="center"/>
              <w:outlineLvl w:val="0"/>
              <w:rPr>
                <w:rFonts w:hint="eastAsia" w:ascii="宋体" w:hAnsi="宋体" w:eastAsia="宋体" w:cstheme="minorEastAsia"/>
                <w:iCs/>
                <w:sz w:val="18"/>
                <w:szCs w:val="18"/>
              </w:rPr>
            </w:pPr>
            <w:r>
              <w:rPr>
                <w:rFonts w:hint="eastAsia" w:ascii="宋体" w:hAnsi="宋体" w:eastAsia="宋体"/>
                <w:sz w:val="18"/>
                <w:szCs w:val="18"/>
              </w:rPr>
              <w:t>本标准</w:t>
            </w:r>
          </w:p>
        </w:tc>
        <w:tc>
          <w:tcPr>
            <w:tcW w:w="1701" w:type="dxa"/>
            <w:tcBorders>
              <w:top w:val="single" w:color="auto" w:sz="4" w:space="0"/>
              <w:left w:val="single" w:color="000000" w:sz="8" w:space="0"/>
              <w:bottom w:val="single" w:color="auto" w:sz="4" w:space="0"/>
              <w:right w:val="single" w:color="000000" w:sz="8" w:space="0"/>
            </w:tcBorders>
            <w:tcMar>
              <w:top w:w="15" w:type="dxa"/>
              <w:left w:w="15" w:type="dxa"/>
              <w:bottom w:w="0" w:type="dxa"/>
              <w:right w:w="15" w:type="dxa"/>
            </w:tcMar>
            <w:vAlign w:val="center"/>
          </w:tcPr>
          <w:p w14:paraId="28DA2225">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410</w:t>
            </w:r>
          </w:p>
        </w:tc>
        <w:tc>
          <w:tcPr>
            <w:tcW w:w="155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535CAB46">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425</w:t>
            </w:r>
          </w:p>
        </w:tc>
        <w:tc>
          <w:tcPr>
            <w:tcW w:w="157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2523815C">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440</w:t>
            </w:r>
          </w:p>
        </w:tc>
      </w:tr>
      <w:tr w14:paraId="6BEDE46D">
        <w:tblPrEx>
          <w:tblCellMar>
            <w:top w:w="0" w:type="dxa"/>
            <w:left w:w="0" w:type="dxa"/>
            <w:bottom w:w="0" w:type="dxa"/>
            <w:right w:w="0" w:type="dxa"/>
          </w:tblCellMar>
        </w:tblPrEx>
        <w:trPr>
          <w:trHeight w:val="109" w:hRule="atLeast"/>
        </w:trPr>
        <w:tc>
          <w:tcPr>
            <w:tcW w:w="1833" w:type="dxa"/>
            <w:vMerge w:val="continue"/>
            <w:tcBorders>
              <w:left w:val="single" w:color="000000" w:sz="8" w:space="0"/>
              <w:bottom w:val="single" w:color="auto" w:sz="4" w:space="0"/>
              <w:right w:val="single" w:color="auto" w:sz="4" w:space="0"/>
            </w:tcBorders>
            <w:tcMar>
              <w:top w:w="15" w:type="dxa"/>
              <w:left w:w="15" w:type="dxa"/>
              <w:bottom w:w="0" w:type="dxa"/>
              <w:right w:w="15" w:type="dxa"/>
            </w:tcMar>
          </w:tcPr>
          <w:p w14:paraId="042D91DF">
            <w:pPr>
              <w:snapToGrid w:val="0"/>
              <w:spacing w:before="156" w:beforeLines="50" w:after="156" w:afterLines="50" w:line="360" w:lineRule="auto"/>
              <w:ind w:firstLine="360" w:firstLineChars="200"/>
              <w:jc w:val="center"/>
              <w:outlineLvl w:val="0"/>
              <w:rPr>
                <w:rFonts w:hint="eastAsia" w:ascii="宋体" w:hAnsi="宋体" w:eastAsia="宋体"/>
                <w:sz w:val="18"/>
                <w:szCs w:val="18"/>
              </w:rPr>
            </w:pPr>
          </w:p>
        </w:tc>
        <w:tc>
          <w:tcPr>
            <w:tcW w:w="2977" w:type="dxa"/>
            <w:tcBorders>
              <w:top w:val="single" w:color="auto" w:sz="4" w:space="0"/>
              <w:left w:val="single" w:color="auto" w:sz="4" w:space="0"/>
              <w:bottom w:val="single" w:color="auto" w:sz="4" w:space="0"/>
              <w:right w:val="single" w:color="000000" w:sz="8" w:space="0"/>
            </w:tcBorders>
          </w:tcPr>
          <w:p w14:paraId="6341D0F5">
            <w:pPr>
              <w:snapToGrid w:val="0"/>
              <w:spacing w:before="156" w:beforeLines="50" w:after="156" w:afterLines="50" w:line="360" w:lineRule="auto"/>
              <w:ind w:firstLine="360" w:firstLineChars="200"/>
              <w:jc w:val="center"/>
              <w:outlineLvl w:val="0"/>
              <w:rPr>
                <w:rFonts w:hint="eastAsia" w:ascii="宋体" w:hAnsi="宋体" w:eastAsia="宋体" w:cstheme="minorEastAsia"/>
                <w:iCs/>
                <w:sz w:val="18"/>
                <w:szCs w:val="18"/>
              </w:rPr>
            </w:pPr>
            <w:bookmarkStart w:id="14" w:name="OLE_LINK20"/>
            <w:r>
              <w:rPr>
                <w:rFonts w:hint="eastAsia" w:ascii="宋体" w:hAnsi="宋体" w:eastAsia="宋体" w:cstheme="minorEastAsia"/>
                <w:iCs/>
                <w:sz w:val="18"/>
                <w:szCs w:val="18"/>
              </w:rPr>
              <w:t>GB 21256</w:t>
            </w:r>
            <w:bookmarkEnd w:id="14"/>
          </w:p>
        </w:tc>
        <w:tc>
          <w:tcPr>
            <w:tcW w:w="1701" w:type="dxa"/>
            <w:tcBorders>
              <w:top w:val="single" w:color="auto" w:sz="4" w:space="0"/>
              <w:left w:val="single" w:color="000000" w:sz="8" w:space="0"/>
              <w:bottom w:val="single" w:color="auto" w:sz="4" w:space="0"/>
              <w:right w:val="single" w:color="000000" w:sz="8" w:space="0"/>
            </w:tcBorders>
            <w:tcMar>
              <w:top w:w="15" w:type="dxa"/>
              <w:left w:w="15" w:type="dxa"/>
              <w:bottom w:w="0" w:type="dxa"/>
              <w:right w:w="15" w:type="dxa"/>
            </w:tcMar>
            <w:vAlign w:val="center"/>
          </w:tcPr>
          <w:p w14:paraId="6EFA22A3">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361</w:t>
            </w:r>
          </w:p>
        </w:tc>
        <w:tc>
          <w:tcPr>
            <w:tcW w:w="1559" w:type="dxa"/>
            <w:tcBorders>
              <w:top w:val="single" w:color="000000" w:sz="8" w:space="0"/>
              <w:left w:val="single" w:color="000000" w:sz="8" w:space="0"/>
              <w:bottom w:val="single" w:color="auto" w:sz="4" w:space="0"/>
              <w:right w:val="single" w:color="000000" w:sz="8" w:space="0"/>
            </w:tcBorders>
            <w:tcMar>
              <w:top w:w="15" w:type="dxa"/>
              <w:left w:w="15" w:type="dxa"/>
              <w:bottom w:w="0" w:type="dxa"/>
              <w:right w:w="15" w:type="dxa"/>
            </w:tcMar>
            <w:vAlign w:val="center"/>
          </w:tcPr>
          <w:p w14:paraId="0D0FCD0A">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370</w:t>
            </w:r>
          </w:p>
        </w:tc>
        <w:tc>
          <w:tcPr>
            <w:tcW w:w="1570" w:type="dxa"/>
            <w:tcBorders>
              <w:top w:val="single" w:color="000000" w:sz="8" w:space="0"/>
              <w:left w:val="single" w:color="000000" w:sz="8" w:space="0"/>
              <w:bottom w:val="single" w:color="auto" w:sz="4" w:space="0"/>
              <w:right w:val="single" w:color="000000" w:sz="8" w:space="0"/>
            </w:tcBorders>
            <w:tcMar>
              <w:top w:w="15" w:type="dxa"/>
              <w:left w:w="15" w:type="dxa"/>
              <w:bottom w:w="0" w:type="dxa"/>
              <w:right w:w="15" w:type="dxa"/>
            </w:tcMar>
            <w:vAlign w:val="center"/>
          </w:tcPr>
          <w:p w14:paraId="3239BBFF">
            <w:pPr>
              <w:snapToGrid w:val="0"/>
              <w:spacing w:before="156" w:beforeLines="50" w:after="156" w:after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435</w:t>
            </w:r>
          </w:p>
        </w:tc>
      </w:tr>
    </w:tbl>
    <w:p w14:paraId="69BA33F0">
      <w:pPr>
        <w:pStyle w:val="17"/>
        <w:adjustRightInd w:val="0"/>
        <w:snapToGrid w:val="0"/>
        <w:spacing w:before="0" w:beforeAutospacing="0" w:after="0" w:afterAutospacing="0" w:line="360" w:lineRule="auto"/>
        <w:ind w:firstLine="420" w:firstLineChars="200"/>
        <w:rPr>
          <w:rFonts w:hint="eastAsia" w:asciiTheme="minorEastAsia" w:hAnsiTheme="minorEastAsia" w:eastAsiaTheme="minorEastAsia" w:cstheme="minorEastAsia"/>
          <w:iCs/>
          <w:kern w:val="2"/>
          <w:sz w:val="21"/>
          <w:szCs w:val="21"/>
        </w:rPr>
      </w:pPr>
    </w:p>
    <w:p w14:paraId="0D5ECC97">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指标对比分析说明：</w:t>
      </w:r>
    </w:p>
    <w:p w14:paraId="2D992CBA">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1.小高炉吨铁耗风量高，小高炉比大高炉吨铁耗风量高200m3～500m3，1立方风量需要消耗约0.085kgce/m3标准煤，高炉工序能耗升高17～42.5</w:t>
      </w:r>
      <w:r>
        <w:rPr>
          <w:color w:val="000000" w:themeColor="text1"/>
          <w14:textFill>
            <w14:solidFill>
              <w14:schemeClr w14:val="tx1"/>
            </w14:solidFill>
          </w14:textFill>
        </w:rPr>
        <w:t>kgce/t</w:t>
      </w:r>
      <w:r>
        <w:rPr>
          <w:rFonts w:hint="eastAsia"/>
          <w:color w:val="000000" w:themeColor="text1"/>
          <w14:textFill>
            <w14:solidFill>
              <w14:schemeClr w14:val="tx1"/>
            </w14:solidFill>
          </w14:textFill>
        </w:rPr>
        <w:t>。</w:t>
      </w:r>
    </w:p>
    <w:p w14:paraId="6855B63B">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2.小高炉间接还原效果比大高炉低5%-10%，小高炉煤气中CO2含量比大高炉低4%～6%，而每降低1%，高炉燃料消耗升高4～5kg,合计能耗升高10～25</w:t>
      </w:r>
      <w:r>
        <w:rPr>
          <w:color w:val="000000" w:themeColor="text1"/>
          <w14:textFill>
            <w14:solidFill>
              <w14:schemeClr w14:val="tx1"/>
            </w14:solidFill>
          </w14:textFill>
        </w:rPr>
        <w:t>kgce/t</w:t>
      </w:r>
      <w:r>
        <w:rPr>
          <w:rFonts w:hint="eastAsia"/>
          <w:color w:val="000000" w:themeColor="text1"/>
          <w14:textFill>
            <w14:solidFill>
              <w14:schemeClr w14:val="tx1"/>
            </w14:solidFill>
          </w14:textFill>
        </w:rPr>
        <w:t>。</w:t>
      </w:r>
    </w:p>
    <w:p w14:paraId="2A0534A0">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3.小高炉比大高炉顶压低，燃料比升高，顶压每低10kpa,燃料比升高0.3%～0.5%，能耗升高1.5～2.5</w:t>
      </w:r>
      <w:r>
        <w:rPr>
          <w:color w:val="000000" w:themeColor="text1"/>
          <w14:textFill>
            <w14:solidFill>
              <w14:schemeClr w14:val="tx1"/>
            </w14:solidFill>
          </w14:textFill>
        </w:rPr>
        <w:t>kgce/t</w:t>
      </w:r>
      <w:r>
        <w:rPr>
          <w:rFonts w:hint="eastAsia"/>
          <w:color w:val="000000" w:themeColor="text1"/>
          <w14:textFill>
            <w14:solidFill>
              <w14:schemeClr w14:val="tx1"/>
            </w14:solidFill>
          </w14:textFill>
        </w:rPr>
        <w:t>。</w:t>
      </w:r>
    </w:p>
    <w:p w14:paraId="0A613C1B">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4.由于高炉炉压、高炉煤气热值等因素影响，300m3以下高炉无法采用BPRT（高炉鼓风与煤气余压能量回收同轴机组）技术（节能约</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30 kgce/t</w:t>
      </w:r>
      <w:r>
        <w:rPr>
          <w:rFonts w:hint="eastAsia"/>
          <w:color w:val="000000" w:themeColor="text1"/>
          <w14:textFill>
            <w14:solidFill>
              <w14:schemeClr w14:val="tx1"/>
            </w14:solidFill>
          </w14:textFill>
        </w:rPr>
        <w:t>），200m3以下高炉难以采用TRT（高炉鼓风机</w:t>
      </w:r>
      <w:r>
        <w:rPr>
          <w:rFonts w:ascii="Times New Roman" w:hAnsi="Times New Roman" w:cs="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和</w:t>
      </w:r>
      <w:r>
        <w:rPr>
          <w:rFonts w:ascii="Times New Roman" w:hAnsi="Times New Roman" w:cs="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高炉煤气余压透平发电装置）技术（节能约15～25</w:t>
      </w:r>
      <w:r>
        <w:rPr>
          <w:color w:val="000000" w:themeColor="text1"/>
          <w14:textFill>
            <w14:solidFill>
              <w14:schemeClr w14:val="tx1"/>
            </w14:solidFill>
          </w14:textFill>
        </w:rPr>
        <w:t xml:space="preserve"> kgce/t</w:t>
      </w:r>
      <w:r>
        <w:rPr>
          <w:rFonts w:hint="eastAsia"/>
          <w:color w:val="000000" w:themeColor="text1"/>
          <w14:textFill>
            <w14:solidFill>
              <w14:schemeClr w14:val="tx1"/>
            </w14:solidFill>
          </w14:textFill>
        </w:rPr>
        <w:t>），而钢铁行业普遍采用BPRT技术。</w:t>
      </w:r>
    </w:p>
    <w:p w14:paraId="37DD65D5">
      <w:pPr>
        <w:pStyle w:val="17"/>
        <w:numPr>
          <w:ilvl w:val="0"/>
          <w:numId w:val="4"/>
        </w:numPr>
        <w:adjustRightInd w:val="0"/>
        <w:snapToGrid w:val="0"/>
        <w:spacing w:before="0" w:beforeAutospacing="0" w:after="0" w:afterAutospacing="0"/>
        <w:ind w:left="0" w:firstLine="482" w:firstLineChars="200"/>
        <w:rPr>
          <w:rFonts w:hint="eastAsia" w:asciiTheme="minorEastAsia" w:hAnsiTheme="minorEastAsia" w:eastAsiaTheme="minorEastAsia" w:cstheme="minorEastAsia"/>
          <w:b/>
          <w:bCs/>
          <w:iCs/>
          <w:kern w:val="2"/>
        </w:rPr>
      </w:pPr>
      <w:r>
        <w:rPr>
          <w:rFonts w:hint="eastAsia"/>
          <w:b/>
          <w:bCs/>
        </w:rPr>
        <w:t>能耗数据调研情况</w:t>
      </w:r>
    </w:p>
    <w:p w14:paraId="4C24FE59">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本标准的核心内容是能耗指标值的确定，因此数据获取、处理及最终取值至关重要。在标准研制过程中，标准起草工作组分三个阶段对企业的能耗数据进行调研分别是初步现场调研</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问卷调研和抽样调查。</w:t>
      </w:r>
    </w:p>
    <w:p w14:paraId="423E757F">
      <w:pPr>
        <w:pStyle w:val="24"/>
        <w:spacing w:line="360" w:lineRule="auto"/>
        <w:ind w:firstLine="422"/>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初步现场调研：</w:t>
      </w:r>
      <w:r>
        <w:rPr>
          <w:rFonts w:hint="eastAsia"/>
          <w:color w:val="000000" w:themeColor="text1"/>
          <w14:textFill>
            <w14:solidFill>
              <w14:schemeClr w14:val="tx1"/>
            </w14:solidFill>
          </w14:textFill>
        </w:rPr>
        <w:t>是为了了解铸造企业的生产工艺、能源管理等情况，以及不同生产条件下能耗之间的差异及能耗分布情况。为此前往3家压铸企业进行现场调研，对企业能耗现状及需求进行考察和座谈。</w:t>
      </w:r>
    </w:p>
    <w:p w14:paraId="712E68D1">
      <w:pPr>
        <w:pStyle w:val="24"/>
        <w:spacing w:line="360" w:lineRule="auto"/>
        <w:ind w:firstLine="422"/>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问卷调研：</w:t>
      </w:r>
      <w:r>
        <w:rPr>
          <w:rFonts w:hint="eastAsia"/>
          <w:color w:val="000000" w:themeColor="text1"/>
          <w14:textFill>
            <w14:solidFill>
              <w14:schemeClr w14:val="tx1"/>
            </w14:solidFill>
          </w14:textFill>
        </w:rPr>
        <w:t>为了扩大数据来源，结合初步现场调研了解的情况，工作组编制了调研问卷，了解企业能耗水平和节能措施的应用。问卷调主要从生产规模、主要生产设备大小、各主要工序能耗等方面考虑。首先是生产规模和主要生产设备大小，一般来说，生产规模较大的企业，能源管理体系比较完善，相关生产装备规格相对较大，如大高炉、大烧结机等，相对小高炉、小烧结机能源利用率要高，节能技术使用更多。根据以上的要求，最终选定30个铸造用生铁生产企业为此次问卷调研的对象，其中大中小企业各10个。</w:t>
      </w:r>
    </w:p>
    <w:p w14:paraId="1C781868">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此次问卷调研通过铸造协会将其下发到30家企业。所有企业均上报了能耗数据，具体数值详见附件。</w:t>
      </w:r>
    </w:p>
    <w:p w14:paraId="464D18A2">
      <w:pPr>
        <w:pStyle w:val="24"/>
        <w:spacing w:line="360" w:lineRule="auto"/>
        <w:ind w:firstLine="422"/>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抽样调查：</w:t>
      </w:r>
      <w:r>
        <w:rPr>
          <w:rFonts w:hint="eastAsia"/>
          <w:color w:val="000000" w:themeColor="text1"/>
          <w14:textFill>
            <w14:solidFill>
              <w14:schemeClr w14:val="tx1"/>
            </w14:solidFill>
          </w14:textFill>
        </w:rPr>
        <w:t>最后为了验证上报数据的合理性，在对上报的数据完成统计后，从能耗较高和较低的铸造企业中抽取了1</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家企业进行现场数据验证，经验证数据无误。</w:t>
      </w:r>
    </w:p>
    <w:p w14:paraId="66E278B2">
      <w:pPr>
        <w:pStyle w:val="24"/>
        <w:spacing w:line="360" w:lineRule="auto"/>
        <w:ind w:firstLine="422"/>
        <w:rPr>
          <w:rFonts w:hint="eastAsia" w:asciiTheme="minorEastAsia" w:hAnsiTheme="minorEastAsia" w:eastAsiaTheme="minorEastAsia" w:cstheme="minorEastAsia"/>
          <w:iCs/>
          <w:szCs w:val="21"/>
        </w:rPr>
      </w:pPr>
      <w:r>
        <w:rPr>
          <w:rFonts w:hint="eastAsia"/>
          <w:b/>
          <w:bCs/>
          <w:color w:val="000000" w:themeColor="text1"/>
          <w14:textFill>
            <w14:solidFill>
              <w14:schemeClr w14:val="tx1"/>
            </w14:solidFill>
          </w14:textFill>
        </w:rPr>
        <w:t>调研情况分析：</w:t>
      </w:r>
      <w:r>
        <w:rPr>
          <w:rFonts w:hint="eastAsia"/>
          <w:color w:val="000000" w:themeColor="text1"/>
          <w14:textFill>
            <w14:solidFill>
              <w14:schemeClr w14:val="tx1"/>
            </w14:solidFill>
          </w14:textFill>
        </w:rPr>
        <w:t>本标准指标参考</w:t>
      </w:r>
      <w:r>
        <w:rPr>
          <w:color w:val="000000" w:themeColor="text1"/>
          <w14:textFill>
            <w14:solidFill>
              <w14:schemeClr w14:val="tx1"/>
            </w14:solidFill>
          </w14:textFill>
        </w:rPr>
        <w:t>T/CFA 0306031—2023</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GB 21256</w:t>
      </w:r>
      <w:r>
        <w:rPr>
          <w:rFonts w:hint="eastAsia"/>
          <w:color w:val="000000" w:themeColor="text1"/>
          <w14:textFill>
            <w14:solidFill>
              <w14:schemeClr w14:val="tx1"/>
            </w14:solidFill>
          </w14:textFill>
        </w:rPr>
        <w:t>，结合现有工艺装备技术实际调研数据综合得出。</w:t>
      </w:r>
    </w:p>
    <w:p w14:paraId="327F0B07">
      <w:pPr>
        <w:pStyle w:val="17"/>
        <w:numPr>
          <w:ilvl w:val="0"/>
          <w:numId w:val="5"/>
        </w:numPr>
        <w:adjustRightInd w:val="0"/>
        <w:snapToGrid w:val="0"/>
        <w:spacing w:before="0" w:beforeAutospacing="0" w:after="0" w:afterAutospacing="0"/>
        <w:rPr>
          <w:rFonts w:hint="eastAsia" w:cstheme="minorBidi"/>
          <w:b/>
          <w:bCs/>
          <w:color w:val="000000" w:themeColor="text1"/>
          <w:kern w:val="2"/>
          <w:sz w:val="21"/>
          <w14:textFill>
            <w14:solidFill>
              <w14:schemeClr w14:val="tx1"/>
            </w14:solidFill>
          </w14:textFill>
        </w:rPr>
      </w:pPr>
      <w:r>
        <w:rPr>
          <w:rFonts w:cstheme="minorBidi"/>
          <w:b/>
          <w:bCs/>
          <w:color w:val="000000" w:themeColor="text1"/>
          <w:kern w:val="2"/>
          <w:sz w:val="21"/>
          <w14:textFill>
            <w14:solidFill>
              <w14:schemeClr w14:val="tx1"/>
            </w14:solidFill>
          </w14:textFill>
        </w:rPr>
        <w:t>烧结</w:t>
      </w:r>
      <w:r>
        <w:rPr>
          <w:rFonts w:hint="eastAsia" w:cstheme="minorBidi"/>
          <w:b/>
          <w:bCs/>
          <w:color w:val="000000" w:themeColor="text1"/>
          <w:kern w:val="2"/>
          <w:sz w:val="21"/>
          <w14:textFill>
            <w14:solidFill>
              <w14:schemeClr w14:val="tx1"/>
            </w14:solidFill>
          </w14:textFill>
        </w:rPr>
        <w:t>工序</w:t>
      </w:r>
    </w:p>
    <w:p w14:paraId="04B90CA4">
      <w:pPr>
        <w:pStyle w:val="17"/>
        <w:snapToGrid w:val="0"/>
        <w:spacing w:before="156" w:beforeLines="50" w:beforeAutospacing="0" w:after="0" w:afterAutospacing="0" w:line="360" w:lineRule="auto"/>
        <w:ind w:firstLine="420" w:firstLineChars="200"/>
        <w:rPr>
          <w:rFonts w:hint="eastAsia" w:cstheme="minorBidi"/>
          <w:color w:val="000000" w:themeColor="text1"/>
          <w:kern w:val="2"/>
          <w:sz w:val="21"/>
          <w14:textFill>
            <w14:solidFill>
              <w14:schemeClr w14:val="tx1"/>
            </w14:solidFill>
          </w14:textFill>
        </w:rPr>
      </w:pPr>
      <w:r>
        <w:rPr>
          <w:rFonts w:hint="eastAsia" w:cstheme="minorBidi"/>
          <w:color w:val="000000" w:themeColor="text1"/>
          <w:kern w:val="2"/>
          <w:sz w:val="21"/>
          <w14:textFill>
            <w14:solidFill>
              <w14:schemeClr w14:val="tx1"/>
            </w14:solidFill>
          </w14:textFill>
        </w:rPr>
        <w:t>编制组调研了29家企业烧结工序能耗情况，详见表5。调研数据见附件。</w:t>
      </w:r>
    </w:p>
    <w:p w14:paraId="212A5544">
      <w:pPr>
        <w:pStyle w:val="21"/>
        <w:spacing w:before="156" w:after="156"/>
        <w:rPr>
          <w:rFonts w:ascii="Times New Roman" w:eastAsia="宋体"/>
          <w:sz w:val="20"/>
        </w:rPr>
      </w:pPr>
      <w:bookmarkStart w:id="15" w:name="OLE_LINK1"/>
      <w:r>
        <w:rPr>
          <w:rFonts w:hint="eastAsia"/>
        </w:rPr>
        <w:t>烧结工序能耗情况</w:t>
      </w:r>
      <w:r>
        <w:rPr>
          <w:rFonts w:hint="eastAsia" w:ascii="宋体" w:hAnsi="宋体" w:eastAsia="宋体" w:cs="宋体"/>
          <w:sz w:val="24"/>
          <w:szCs w:val="24"/>
        </w:rPr>
        <w:fldChar w:fldCharType="begin"/>
      </w:r>
      <w:r>
        <w:rPr>
          <w:rFonts w:hint="eastAsia"/>
        </w:rPr>
        <w:instrText xml:space="preserve"> </w:instrText>
      </w:r>
      <w:r>
        <w:instrText xml:space="preserve">LINK Excel.Sheet.12</w:instrText>
      </w:r>
      <w:r>
        <w:rPr>
          <w:rFonts w:hint="eastAsia"/>
        </w:rPr>
        <w:instrText xml:space="preserve"> "C:\\Users\\13648\\Desktop\\新建 XLSX 工作表.xlsx"</w:instrText>
      </w:r>
      <w:r>
        <w:instrText xml:space="preserve"> Sheet1!R1C1:R3C5 \a \f 5 \h</w:instrText>
      </w:r>
      <w:r>
        <w:rPr>
          <w:rFonts w:hint="eastAsia"/>
        </w:rPr>
        <w:instrText xml:space="preserve">  \* MERGEFORMAT </w:instrText>
      </w:r>
      <w:r>
        <w:rPr>
          <w:rFonts w:hint="eastAsia"/>
        </w:rPr>
        <w:fldChar w:fldCharType="separate"/>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2336"/>
        <w:gridCol w:w="2336"/>
        <w:gridCol w:w="2336"/>
      </w:tblGrid>
      <w:tr w14:paraId="2ACC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36" w:type="dxa"/>
          </w:tcPr>
          <w:p w14:paraId="338B0B3F">
            <w:pPr>
              <w:adjustRightInd w:val="0"/>
              <w:snapToGrid w:val="0"/>
              <w:jc w:val="center"/>
              <w:outlineLvl w:val="0"/>
              <w:rPr>
                <w:rFonts w:hint="eastAsia" w:ascii="宋体" w:hAnsi="宋体" w:eastAsia="宋体"/>
                <w:sz w:val="18"/>
                <w:szCs w:val="18"/>
              </w:rPr>
            </w:pPr>
            <w:r>
              <w:rPr>
                <w:rFonts w:hint="eastAsia" w:ascii="宋体" w:hAnsi="宋体" w:eastAsia="宋体"/>
                <w:sz w:val="18"/>
                <w:szCs w:val="18"/>
              </w:rPr>
              <w:t>指标</w:t>
            </w:r>
            <w:r>
              <w:rPr>
                <w:rFonts w:ascii="宋体" w:hAnsi="宋体" w:eastAsia="宋体"/>
                <w:sz w:val="18"/>
                <w:szCs w:val="18"/>
              </w:rPr>
              <w:t>kgce/t</w:t>
            </w:r>
          </w:p>
        </w:tc>
        <w:tc>
          <w:tcPr>
            <w:tcW w:w="2336" w:type="dxa"/>
            <w:vAlign w:val="center"/>
          </w:tcPr>
          <w:p w14:paraId="783B47D9">
            <w:pPr>
              <w:adjustRightInd w:val="0"/>
              <w:snapToGrid w:val="0"/>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48</w:t>
            </w:r>
          </w:p>
        </w:tc>
        <w:tc>
          <w:tcPr>
            <w:tcW w:w="2336" w:type="dxa"/>
            <w:vAlign w:val="center"/>
          </w:tcPr>
          <w:p w14:paraId="1540597A">
            <w:pPr>
              <w:adjustRightInd w:val="0"/>
              <w:snapToGrid w:val="0"/>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52</w:t>
            </w:r>
          </w:p>
        </w:tc>
        <w:tc>
          <w:tcPr>
            <w:tcW w:w="2336" w:type="dxa"/>
            <w:vAlign w:val="center"/>
          </w:tcPr>
          <w:p w14:paraId="60B56AB8">
            <w:pPr>
              <w:adjustRightInd w:val="0"/>
              <w:snapToGrid w:val="0"/>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55</w:t>
            </w:r>
          </w:p>
        </w:tc>
      </w:tr>
      <w:tr w14:paraId="2FC5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36" w:type="dxa"/>
          </w:tcPr>
          <w:p w14:paraId="7036B736">
            <w:pPr>
              <w:adjustRightInd w:val="0"/>
              <w:snapToGrid w:val="0"/>
              <w:jc w:val="center"/>
              <w:outlineLvl w:val="0"/>
              <w:rPr>
                <w:rFonts w:hint="eastAsia" w:ascii="宋体" w:hAnsi="宋体" w:eastAsia="宋体"/>
                <w:sz w:val="18"/>
                <w:szCs w:val="18"/>
              </w:rPr>
            </w:pPr>
            <w:r>
              <w:rPr>
                <w:rFonts w:hint="eastAsia" w:ascii="宋体" w:hAnsi="宋体" w:eastAsia="宋体"/>
                <w:sz w:val="18"/>
                <w:szCs w:val="18"/>
              </w:rPr>
              <w:t>占比</w:t>
            </w:r>
          </w:p>
        </w:tc>
        <w:tc>
          <w:tcPr>
            <w:tcW w:w="2336" w:type="dxa"/>
          </w:tcPr>
          <w:p w14:paraId="7E1F95BD">
            <w:pPr>
              <w:adjustRightInd w:val="0"/>
              <w:snapToGrid w:val="0"/>
              <w:jc w:val="center"/>
              <w:outlineLvl w:val="0"/>
              <w:rPr>
                <w:rFonts w:hint="eastAsia" w:ascii="宋体" w:hAnsi="宋体" w:eastAsia="宋体"/>
                <w:sz w:val="18"/>
                <w:szCs w:val="18"/>
              </w:rPr>
            </w:pPr>
            <w:r>
              <w:rPr>
                <w:rFonts w:ascii="宋体" w:hAnsi="宋体" w:eastAsia="宋体"/>
                <w:sz w:val="18"/>
                <w:szCs w:val="18"/>
              </w:rPr>
              <w:t>3.5%</w:t>
            </w:r>
          </w:p>
        </w:tc>
        <w:tc>
          <w:tcPr>
            <w:tcW w:w="2336" w:type="dxa"/>
          </w:tcPr>
          <w:p w14:paraId="1CC06F12">
            <w:pPr>
              <w:adjustRightInd w:val="0"/>
              <w:snapToGrid w:val="0"/>
              <w:jc w:val="center"/>
              <w:outlineLvl w:val="0"/>
              <w:rPr>
                <w:rFonts w:hint="eastAsia" w:ascii="宋体" w:hAnsi="宋体" w:eastAsia="宋体"/>
                <w:sz w:val="18"/>
                <w:szCs w:val="18"/>
              </w:rPr>
            </w:pPr>
            <w:r>
              <w:rPr>
                <w:rFonts w:ascii="宋体" w:hAnsi="宋体" w:eastAsia="宋体"/>
                <w:sz w:val="18"/>
                <w:szCs w:val="18"/>
              </w:rPr>
              <w:t>1</w:t>
            </w:r>
            <w:r>
              <w:rPr>
                <w:rFonts w:hint="eastAsia" w:ascii="宋体" w:hAnsi="宋体" w:eastAsia="宋体"/>
                <w:sz w:val="18"/>
                <w:szCs w:val="18"/>
              </w:rPr>
              <w:t>7</w:t>
            </w:r>
            <w:r>
              <w:rPr>
                <w:rFonts w:ascii="宋体" w:hAnsi="宋体" w:eastAsia="宋体"/>
                <w:sz w:val="18"/>
                <w:szCs w:val="18"/>
              </w:rPr>
              <w:t>.</w:t>
            </w:r>
            <w:r>
              <w:rPr>
                <w:rFonts w:hint="eastAsia" w:ascii="宋体" w:hAnsi="宋体" w:eastAsia="宋体"/>
                <w:sz w:val="18"/>
                <w:szCs w:val="18"/>
              </w:rPr>
              <w:t>2</w:t>
            </w:r>
            <w:r>
              <w:rPr>
                <w:rFonts w:ascii="宋体" w:hAnsi="宋体" w:eastAsia="宋体"/>
                <w:sz w:val="18"/>
                <w:szCs w:val="18"/>
              </w:rPr>
              <w:t>%</w:t>
            </w:r>
          </w:p>
        </w:tc>
        <w:tc>
          <w:tcPr>
            <w:tcW w:w="2336" w:type="dxa"/>
          </w:tcPr>
          <w:p w14:paraId="1D71BF50">
            <w:pPr>
              <w:adjustRightInd w:val="0"/>
              <w:snapToGrid w:val="0"/>
              <w:jc w:val="center"/>
              <w:outlineLvl w:val="0"/>
              <w:rPr>
                <w:rFonts w:hint="eastAsia" w:ascii="宋体" w:hAnsi="宋体" w:eastAsia="宋体"/>
                <w:sz w:val="18"/>
                <w:szCs w:val="18"/>
              </w:rPr>
            </w:pPr>
            <w:r>
              <w:rPr>
                <w:rFonts w:ascii="宋体" w:hAnsi="宋体" w:eastAsia="宋体"/>
                <w:sz w:val="18"/>
                <w:szCs w:val="18"/>
              </w:rPr>
              <w:t>48.3%</w:t>
            </w:r>
          </w:p>
        </w:tc>
      </w:tr>
    </w:tbl>
    <w:p w14:paraId="5C1E50BC">
      <w:pPr>
        <w:pStyle w:val="24"/>
        <w:spacing w:line="360" w:lineRule="auto"/>
        <w:ind w:firstLine="420"/>
        <w:rPr>
          <w:rFonts w:hint="eastAsia"/>
          <w:color w:val="000000" w:themeColor="text1"/>
          <w14:textFill>
            <w14:solidFill>
              <w14:schemeClr w14:val="tx1"/>
            </w14:solidFill>
          </w14:textFill>
        </w:rPr>
      </w:pPr>
      <w:r>
        <w:rPr>
          <w:rFonts w:hint="eastAsia"/>
        </w:rPr>
        <w:fldChar w:fldCharType="end"/>
      </w:r>
      <w:bookmarkEnd w:id="15"/>
      <w:r>
        <w:rPr>
          <w:rFonts w:hint="eastAsia"/>
          <w:color w:val="000000" w:themeColor="text1"/>
          <w14:textFill>
            <w14:solidFill>
              <w14:schemeClr w14:val="tx1"/>
            </w14:solidFill>
          </w14:textFill>
        </w:rPr>
        <w:t>烧结工序整体达标率偏低与大多数企业现阶段节能管理能力不足，余热利用情况差，节能技术应用情况差等原因导致的，加强以下节能技术大多数企业可达到2级指标。</w:t>
      </w:r>
    </w:p>
    <w:p w14:paraId="64739B8F">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烧结</w:t>
      </w:r>
      <w:r>
        <w:rPr>
          <w:color w:val="000000" w:themeColor="text1"/>
          <w14:textFill>
            <w14:solidFill>
              <w14:schemeClr w14:val="tx1"/>
            </w14:solidFill>
          </w14:textFill>
        </w:rPr>
        <w:t>节能技术：</w:t>
      </w:r>
    </w:p>
    <w:p w14:paraId="4223ADF1">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w:t>
      </w:r>
      <w:r>
        <w:rPr>
          <w:color w:val="000000" w:themeColor="text1"/>
          <w14:textFill>
            <w14:solidFill>
              <w14:schemeClr w14:val="tx1"/>
            </w14:solidFill>
          </w14:textFill>
        </w:rPr>
        <w:t>降低漏风率——从保持抽风通道的密封性、混合料布料的均匀性、透气性调整等多个环节入手，提高主抽风机的抽风效率</w:t>
      </w:r>
      <w:r>
        <w:rPr>
          <w:rFonts w:hint="eastAsia"/>
          <w:color w:val="000000" w:themeColor="text1"/>
          <w14:textFill>
            <w14:solidFill>
              <w14:schemeClr w14:val="tx1"/>
            </w14:solidFill>
          </w14:textFill>
        </w:rPr>
        <w:t>；</w:t>
      </w:r>
    </w:p>
    <w:p w14:paraId="6DD4CD17">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②</w:t>
      </w:r>
      <w:r>
        <w:rPr>
          <w:color w:val="000000" w:themeColor="text1"/>
          <w14:textFill>
            <w14:solidFill>
              <w14:schemeClr w14:val="tx1"/>
            </w14:solidFill>
          </w14:textFill>
        </w:rPr>
        <w:t>烟气余热回收利用——主抽风机在烧结过程抽出的热风可考虑回收，用于预热点火燃料、混合料或进行热风烧结</w:t>
      </w:r>
      <w:r>
        <w:rPr>
          <w:rFonts w:hint="eastAsia"/>
          <w:color w:val="000000" w:themeColor="text1"/>
          <w14:textFill>
            <w14:solidFill>
              <w14:schemeClr w14:val="tx1"/>
            </w14:solidFill>
          </w14:textFill>
        </w:rPr>
        <w:t>；</w:t>
      </w:r>
    </w:p>
    <w:p w14:paraId="17CCE3B1">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w:t>
      </w:r>
      <w:r>
        <w:rPr>
          <w:color w:val="000000" w:themeColor="text1"/>
          <w14:textFill>
            <w14:solidFill>
              <w14:schemeClr w14:val="tx1"/>
            </w14:solidFill>
          </w14:textFill>
        </w:rPr>
        <w:t>电系统方面，提高电气设备（皮带输送设备、风机、水泵、其他电动机械）的使用效率</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如：减少皮带空转时间、减少风机漏风、保持设备运行负荷最佳、对有条件的动力设备实施变频调速等</w:t>
      </w:r>
      <w:r>
        <w:rPr>
          <w:rFonts w:hint="eastAsia"/>
          <w:color w:val="000000" w:themeColor="text1"/>
          <w14:textFill>
            <w14:solidFill>
              <w14:schemeClr w14:val="tx1"/>
            </w14:solidFill>
          </w14:textFill>
        </w:rPr>
        <w:t>；</w:t>
      </w:r>
    </w:p>
    <w:p w14:paraId="5BB1A9B1">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④</w:t>
      </w:r>
      <w:r>
        <w:rPr>
          <w:color w:val="000000" w:themeColor="text1"/>
          <w14:textFill>
            <w14:solidFill>
              <w14:schemeClr w14:val="tx1"/>
            </w14:solidFill>
          </w14:textFill>
        </w:rPr>
        <w:t>点火燃烧工艺实施改进——如：优化点火燃料的组成成分（适当调整燃料热值）、点火烧嘴改进等等，以提高点火燃料利用效率，降低能耗</w:t>
      </w:r>
      <w:r>
        <w:rPr>
          <w:rFonts w:hint="eastAsia"/>
          <w:color w:val="000000" w:themeColor="text1"/>
          <w14:textFill>
            <w14:solidFill>
              <w14:schemeClr w14:val="tx1"/>
            </w14:solidFill>
          </w14:textFill>
        </w:rPr>
        <w:t>本。</w:t>
      </w:r>
    </w:p>
    <w:p w14:paraId="45850A1E">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考虑到目前大部分行业中小型企业节能技术应用情况较差，部分企业完全没有节能措施或采用的步进式烧结机，余热、余能回收率较低，以此数据为基础定标准会使标准指标较松，故本标准以有基础节能措施的带式烧结机为基础，确定标指标，根据调研情况，具备符合基本要求烧结机共15家，详见表6。</w:t>
      </w:r>
    </w:p>
    <w:p w14:paraId="74CAB2B0">
      <w:pPr>
        <w:pStyle w:val="21"/>
        <w:spacing w:before="156" w:after="156"/>
        <w:rPr>
          <w:rFonts w:ascii="Times New Roman" w:eastAsia="宋体"/>
          <w:sz w:val="20"/>
        </w:rPr>
      </w:pPr>
      <w:r>
        <w:rPr>
          <w:rFonts w:hint="eastAsia"/>
        </w:rPr>
        <w:t>烧结工序能耗情况</w:t>
      </w:r>
      <w:r>
        <w:rPr>
          <w:rFonts w:hint="eastAsia" w:ascii="宋体" w:hAnsi="宋体" w:eastAsia="宋体" w:cs="宋体"/>
          <w:sz w:val="24"/>
          <w:szCs w:val="24"/>
        </w:rPr>
        <w:fldChar w:fldCharType="begin"/>
      </w:r>
      <w:r>
        <w:rPr>
          <w:rFonts w:hint="eastAsia"/>
        </w:rPr>
        <w:instrText xml:space="preserve"> </w:instrText>
      </w:r>
      <w:r>
        <w:instrText xml:space="preserve">LINK Excel.Sheet.12</w:instrText>
      </w:r>
      <w:r>
        <w:rPr>
          <w:rFonts w:hint="eastAsia"/>
        </w:rPr>
        <w:instrText xml:space="preserve"> "C:\\Users\\13648\\Desktop\\新建 XLSX 工作表.xlsx"</w:instrText>
      </w:r>
      <w:r>
        <w:instrText xml:space="preserve"> Sheet1!R1C1:R3C5 \a \f 5 \h</w:instrText>
      </w:r>
      <w:r>
        <w:rPr>
          <w:rFonts w:hint="eastAsia"/>
        </w:rPr>
        <w:instrText xml:space="preserve">  \* MERGEFORMAT </w:instrText>
      </w:r>
      <w:r>
        <w:rPr>
          <w:rFonts w:hint="eastAsia"/>
        </w:rPr>
        <w:fldChar w:fldCharType="separate"/>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2336"/>
        <w:gridCol w:w="2336"/>
        <w:gridCol w:w="2336"/>
      </w:tblGrid>
      <w:tr w14:paraId="043E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336" w:type="dxa"/>
          </w:tcPr>
          <w:p w14:paraId="1F35ECFF">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指标</w:t>
            </w:r>
            <w:r>
              <w:rPr>
                <w:rFonts w:ascii="宋体" w:hAnsi="宋体" w:eastAsia="宋体"/>
                <w:sz w:val="18"/>
                <w:szCs w:val="18"/>
              </w:rPr>
              <w:t>kgce/t</w:t>
            </w:r>
          </w:p>
        </w:tc>
        <w:tc>
          <w:tcPr>
            <w:tcW w:w="2336" w:type="dxa"/>
            <w:vAlign w:val="center"/>
          </w:tcPr>
          <w:p w14:paraId="72D1AB34">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48</w:t>
            </w:r>
          </w:p>
        </w:tc>
        <w:tc>
          <w:tcPr>
            <w:tcW w:w="2336" w:type="dxa"/>
            <w:vAlign w:val="center"/>
          </w:tcPr>
          <w:p w14:paraId="70A1EF69">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52</w:t>
            </w:r>
          </w:p>
        </w:tc>
        <w:tc>
          <w:tcPr>
            <w:tcW w:w="2336" w:type="dxa"/>
            <w:vAlign w:val="center"/>
          </w:tcPr>
          <w:p w14:paraId="0F6A835D">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55</w:t>
            </w:r>
          </w:p>
        </w:tc>
      </w:tr>
      <w:tr w14:paraId="025E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336" w:type="dxa"/>
          </w:tcPr>
          <w:p w14:paraId="60BB801E">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占比</w:t>
            </w:r>
          </w:p>
        </w:tc>
        <w:tc>
          <w:tcPr>
            <w:tcW w:w="2336" w:type="dxa"/>
          </w:tcPr>
          <w:p w14:paraId="142ED9CA">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6.6</w:t>
            </w:r>
            <w:r>
              <w:rPr>
                <w:rFonts w:ascii="宋体" w:hAnsi="宋体" w:eastAsia="宋体"/>
                <w:sz w:val="18"/>
                <w:szCs w:val="18"/>
              </w:rPr>
              <w:t>%</w:t>
            </w:r>
          </w:p>
        </w:tc>
        <w:tc>
          <w:tcPr>
            <w:tcW w:w="2336" w:type="dxa"/>
          </w:tcPr>
          <w:p w14:paraId="6465DA85">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33.3</w:t>
            </w:r>
            <w:r>
              <w:rPr>
                <w:rFonts w:ascii="宋体" w:hAnsi="宋体" w:eastAsia="宋体"/>
                <w:sz w:val="18"/>
                <w:szCs w:val="18"/>
              </w:rPr>
              <w:t>%</w:t>
            </w:r>
          </w:p>
        </w:tc>
        <w:tc>
          <w:tcPr>
            <w:tcW w:w="2336" w:type="dxa"/>
          </w:tcPr>
          <w:p w14:paraId="327D0CBD">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93</w:t>
            </w:r>
            <w:r>
              <w:rPr>
                <w:rFonts w:ascii="宋体" w:hAnsi="宋体" w:eastAsia="宋体"/>
                <w:sz w:val="18"/>
                <w:szCs w:val="18"/>
              </w:rPr>
              <w:t>.3%</w:t>
            </w:r>
          </w:p>
        </w:tc>
      </w:tr>
    </w:tbl>
    <w:p w14:paraId="3539B30B">
      <w:pPr>
        <w:pStyle w:val="24"/>
        <w:spacing w:line="360" w:lineRule="auto"/>
        <w:ind w:firstLine="420"/>
        <w:rPr>
          <w:rFonts w:hint="eastAsia"/>
          <w:color w:val="000000" w:themeColor="text1"/>
          <w14:textFill>
            <w14:solidFill>
              <w14:schemeClr w14:val="tx1"/>
            </w14:solidFill>
          </w14:textFill>
        </w:rPr>
      </w:pPr>
      <w:r>
        <w:rPr>
          <w:rFonts w:hint="eastAsia"/>
        </w:rPr>
        <w:fldChar w:fldCharType="end"/>
      </w:r>
      <w:r>
        <w:rPr>
          <w:rFonts w:hint="eastAsia"/>
          <w:color w:val="000000" w:themeColor="text1"/>
          <w14:textFill>
            <w14:solidFill>
              <w14:schemeClr w14:val="tx1"/>
            </w14:solidFill>
          </w14:textFill>
        </w:rPr>
        <w:t>综合考虑行业企业节能技术有钢铁行业作为参考，行业整体节能潜力较大，2级指标可适当加严，引导行业绿色低碳发展，最终确定1、2、3级指标分别为48 kgce/t、52 kgce/t和55 kgce/t。</w:t>
      </w:r>
    </w:p>
    <w:p w14:paraId="064CA218">
      <w:pPr>
        <w:pStyle w:val="17"/>
        <w:numPr>
          <w:ilvl w:val="0"/>
          <w:numId w:val="5"/>
        </w:numPr>
        <w:adjustRightInd w:val="0"/>
        <w:snapToGrid w:val="0"/>
        <w:spacing w:before="0" w:beforeAutospacing="0" w:after="0" w:afterAutospacing="0"/>
        <w:rPr>
          <w:rFonts w:hint="eastAsia" w:cstheme="minorBidi"/>
          <w:b/>
          <w:bCs/>
          <w:color w:val="000000" w:themeColor="text1"/>
          <w:kern w:val="2"/>
          <w:sz w:val="21"/>
          <w14:textFill>
            <w14:solidFill>
              <w14:schemeClr w14:val="tx1"/>
            </w14:solidFill>
          </w14:textFill>
        </w:rPr>
      </w:pPr>
      <w:r>
        <w:rPr>
          <w:rFonts w:hint="eastAsia" w:cstheme="minorBidi"/>
          <w:b/>
          <w:bCs/>
          <w:color w:val="000000" w:themeColor="text1"/>
          <w:kern w:val="2"/>
          <w:sz w:val="21"/>
          <w14:textFill>
            <w14:solidFill>
              <w14:schemeClr w14:val="tx1"/>
            </w14:solidFill>
          </w14:textFill>
        </w:rPr>
        <w:t>球团工序</w:t>
      </w:r>
    </w:p>
    <w:p w14:paraId="7A74B394">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编制组调研了8家企业球团工序能耗情况，详见表6。</w:t>
      </w:r>
      <w:bookmarkStart w:id="16" w:name="OLE_LINK3"/>
      <w:r>
        <w:rPr>
          <w:rFonts w:hint="eastAsia"/>
          <w:color w:val="000000" w:themeColor="text1"/>
          <w14:textFill>
            <w14:solidFill>
              <w14:schemeClr w14:val="tx1"/>
            </w14:solidFill>
          </w14:textFill>
        </w:rPr>
        <w:t>调研数据见附件。</w:t>
      </w:r>
      <w:bookmarkEnd w:id="16"/>
    </w:p>
    <w:p w14:paraId="6A1A1BCA">
      <w:pPr>
        <w:pStyle w:val="21"/>
        <w:spacing w:before="156" w:after="156"/>
        <w:rPr>
          <w:rFonts w:ascii="Times New Roman" w:eastAsia="宋体"/>
          <w:sz w:val="20"/>
        </w:rPr>
      </w:pPr>
      <w:r>
        <w:rPr>
          <w:rFonts w:hint="eastAsia"/>
        </w:rPr>
        <w:t>球团工序能耗情况</w:t>
      </w:r>
      <w:r>
        <w:rPr>
          <w:rFonts w:hint="eastAsia" w:ascii="宋体" w:hAnsi="宋体" w:eastAsia="宋体" w:cs="宋体"/>
          <w:sz w:val="24"/>
          <w:szCs w:val="24"/>
        </w:rPr>
        <w:fldChar w:fldCharType="begin"/>
      </w:r>
      <w:r>
        <w:rPr>
          <w:rFonts w:hint="eastAsia"/>
        </w:rPr>
        <w:instrText xml:space="preserve"> </w:instrText>
      </w:r>
      <w:r>
        <w:instrText xml:space="preserve">LINK Excel.Sheet.12</w:instrText>
      </w:r>
      <w:r>
        <w:rPr>
          <w:rFonts w:hint="eastAsia"/>
        </w:rPr>
        <w:instrText xml:space="preserve"> "C:\\Users\\13648\\Desktop\\新建 XLSX 工作表.xlsx"</w:instrText>
      </w:r>
      <w:r>
        <w:instrText xml:space="preserve"> Sheet1!R1C1:R3C5 \a \f 5 \h</w:instrText>
      </w:r>
      <w:r>
        <w:rPr>
          <w:rFonts w:hint="eastAsia"/>
        </w:rPr>
        <w:instrText xml:space="preserve">  \* MERGEFORMAT </w:instrText>
      </w:r>
      <w:r>
        <w:rPr>
          <w:rFonts w:hint="eastAsia"/>
        </w:rPr>
        <w:fldChar w:fldCharType="separate"/>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2336"/>
        <w:gridCol w:w="2336"/>
        <w:gridCol w:w="2336"/>
      </w:tblGrid>
      <w:tr w14:paraId="4F7E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06A90B4C">
            <w:pPr>
              <w:snapToGrid w:val="0"/>
              <w:spacing w:before="156" w:beforeLines="50" w:line="360" w:lineRule="auto"/>
              <w:jc w:val="center"/>
              <w:outlineLvl w:val="0"/>
              <w:rPr>
                <w:rFonts w:hint="eastAsia" w:asciiTheme="minorEastAsia" w:hAnsiTheme="minorEastAsia" w:eastAsiaTheme="minorEastAsia"/>
                <w:sz w:val="18"/>
                <w:szCs w:val="18"/>
              </w:rPr>
            </w:pPr>
            <w:r>
              <w:rPr>
                <w:rFonts w:hint="eastAsia" w:asciiTheme="minorEastAsia" w:hAnsiTheme="minorEastAsia" w:eastAsiaTheme="minorEastAsia"/>
                <w:sz w:val="18"/>
                <w:szCs w:val="18"/>
              </w:rPr>
              <w:t>指标</w:t>
            </w:r>
            <w:r>
              <w:rPr>
                <w:rFonts w:asciiTheme="minorEastAsia" w:hAnsiTheme="minorEastAsia" w:eastAsiaTheme="minorEastAsia"/>
                <w:sz w:val="18"/>
                <w:szCs w:val="18"/>
              </w:rPr>
              <w:t>kgce/t</w:t>
            </w:r>
          </w:p>
        </w:tc>
        <w:tc>
          <w:tcPr>
            <w:tcW w:w="2336" w:type="dxa"/>
            <w:vAlign w:val="center"/>
          </w:tcPr>
          <w:p w14:paraId="1E232034">
            <w:pPr>
              <w:snapToGrid w:val="0"/>
              <w:spacing w:before="156" w:beforeLines="50" w:line="360" w:lineRule="auto"/>
              <w:jc w:val="center"/>
              <w:outlineLvl w:val="0"/>
              <w:rPr>
                <w:rFonts w:hint="eastAsia"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28</w:t>
            </w:r>
          </w:p>
        </w:tc>
        <w:tc>
          <w:tcPr>
            <w:tcW w:w="2336" w:type="dxa"/>
            <w:vAlign w:val="center"/>
          </w:tcPr>
          <w:p w14:paraId="44972A35">
            <w:pPr>
              <w:snapToGrid w:val="0"/>
              <w:spacing w:before="156" w:beforeLines="50" w:line="360" w:lineRule="auto"/>
              <w:jc w:val="center"/>
              <w:outlineLvl w:val="0"/>
              <w:rPr>
                <w:rFonts w:hint="eastAsia"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32</w:t>
            </w:r>
          </w:p>
        </w:tc>
        <w:tc>
          <w:tcPr>
            <w:tcW w:w="2336" w:type="dxa"/>
            <w:vAlign w:val="center"/>
          </w:tcPr>
          <w:p w14:paraId="763AF962">
            <w:pPr>
              <w:snapToGrid w:val="0"/>
              <w:spacing w:before="156" w:beforeLines="50" w:line="360" w:lineRule="auto"/>
              <w:jc w:val="center"/>
              <w:outlineLvl w:val="0"/>
              <w:rPr>
                <w:rFonts w:hint="eastAsia"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36</w:t>
            </w:r>
          </w:p>
        </w:tc>
      </w:tr>
      <w:tr w14:paraId="34023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356DC38D">
            <w:pPr>
              <w:snapToGrid w:val="0"/>
              <w:spacing w:before="156" w:beforeLines="50" w:line="360" w:lineRule="auto"/>
              <w:jc w:val="center"/>
              <w:outlineLvl w:val="0"/>
              <w:rPr>
                <w:rFonts w:hint="eastAsia" w:asciiTheme="minorEastAsia" w:hAnsiTheme="minorEastAsia" w:eastAsiaTheme="minorEastAsia"/>
                <w:sz w:val="18"/>
                <w:szCs w:val="18"/>
              </w:rPr>
            </w:pPr>
            <w:r>
              <w:rPr>
                <w:rFonts w:hint="eastAsia" w:asciiTheme="minorEastAsia" w:hAnsiTheme="minorEastAsia" w:eastAsiaTheme="minorEastAsia"/>
                <w:sz w:val="18"/>
                <w:szCs w:val="18"/>
              </w:rPr>
              <w:t>占比</w:t>
            </w:r>
          </w:p>
        </w:tc>
        <w:tc>
          <w:tcPr>
            <w:tcW w:w="2336" w:type="dxa"/>
          </w:tcPr>
          <w:p w14:paraId="4EF3B79D">
            <w:pPr>
              <w:snapToGrid w:val="0"/>
              <w:spacing w:before="156" w:beforeLines="50" w:line="360" w:lineRule="auto"/>
              <w:jc w:val="center"/>
              <w:outlineLvl w:val="0"/>
              <w:rPr>
                <w:rFonts w:hint="eastAsia" w:asciiTheme="minorEastAsia" w:hAnsiTheme="minorEastAsia" w:eastAsiaTheme="minorEastAsia"/>
                <w:sz w:val="18"/>
                <w:szCs w:val="18"/>
              </w:rPr>
            </w:pPr>
            <w:r>
              <w:rPr>
                <w:rFonts w:asciiTheme="minorEastAsia" w:hAnsiTheme="minorEastAsia" w:eastAsiaTheme="minorEastAsia"/>
                <w:sz w:val="18"/>
                <w:szCs w:val="18"/>
              </w:rPr>
              <w:t>25%</w:t>
            </w:r>
          </w:p>
        </w:tc>
        <w:tc>
          <w:tcPr>
            <w:tcW w:w="2336" w:type="dxa"/>
          </w:tcPr>
          <w:p w14:paraId="76D7CF22">
            <w:pPr>
              <w:snapToGrid w:val="0"/>
              <w:spacing w:before="156" w:beforeLines="50" w:line="360" w:lineRule="auto"/>
              <w:jc w:val="center"/>
              <w:outlineLvl w:val="0"/>
              <w:rPr>
                <w:rFonts w:hint="eastAsia" w:asciiTheme="minorEastAsia" w:hAnsiTheme="minorEastAsia" w:eastAsiaTheme="minorEastAsia"/>
                <w:sz w:val="18"/>
                <w:szCs w:val="18"/>
              </w:rPr>
            </w:pPr>
            <w:r>
              <w:rPr>
                <w:rFonts w:asciiTheme="minorEastAsia" w:hAnsiTheme="minorEastAsia" w:eastAsiaTheme="minorEastAsia"/>
                <w:sz w:val="18"/>
                <w:szCs w:val="18"/>
              </w:rPr>
              <w:t>50%</w:t>
            </w:r>
          </w:p>
        </w:tc>
        <w:tc>
          <w:tcPr>
            <w:tcW w:w="2336" w:type="dxa"/>
          </w:tcPr>
          <w:p w14:paraId="50324808">
            <w:pPr>
              <w:snapToGrid w:val="0"/>
              <w:spacing w:before="156" w:beforeLines="50" w:line="360" w:lineRule="auto"/>
              <w:jc w:val="center"/>
              <w:outlineLvl w:val="0"/>
              <w:rPr>
                <w:rFonts w:hint="eastAsia" w:asciiTheme="minorEastAsia" w:hAnsiTheme="minorEastAsia" w:eastAsiaTheme="minorEastAsia"/>
                <w:sz w:val="18"/>
                <w:szCs w:val="18"/>
              </w:rPr>
            </w:pPr>
            <w:r>
              <w:rPr>
                <w:rFonts w:asciiTheme="minorEastAsia" w:hAnsiTheme="minorEastAsia" w:eastAsiaTheme="minorEastAsia"/>
                <w:sz w:val="18"/>
                <w:szCs w:val="18"/>
              </w:rPr>
              <w:t>75%</w:t>
            </w:r>
          </w:p>
        </w:tc>
      </w:tr>
    </w:tbl>
    <w:p w14:paraId="551E4481">
      <w:pPr>
        <w:pStyle w:val="24"/>
        <w:spacing w:line="360" w:lineRule="auto"/>
        <w:ind w:firstLine="420"/>
        <w:rPr>
          <w:rFonts w:hint="eastAsia"/>
          <w:color w:val="000000" w:themeColor="text1"/>
          <w14:textFill>
            <w14:solidFill>
              <w14:schemeClr w14:val="tx1"/>
            </w14:solidFill>
          </w14:textFill>
        </w:rPr>
      </w:pPr>
      <w:r>
        <w:rPr>
          <w:rFonts w:hint="eastAsia"/>
        </w:rPr>
        <w:fldChar w:fldCharType="end"/>
      </w:r>
      <w:r>
        <w:rPr>
          <w:rFonts w:hint="eastAsia"/>
          <w:color w:val="000000" w:themeColor="text1"/>
          <w14:textFill>
            <w14:solidFill>
              <w14:schemeClr w14:val="tx1"/>
            </w14:solidFill>
          </w14:textFill>
        </w:rPr>
        <w:t>铸造用生铁企业球团工序设备相对较小，此次调研的企业中能耗较高的企业，其主要原因是球团工序未满负荷生产，实际开工率仅45%左右。有球团工序的一般为大型企业，球团工序企业控制好生产节拍，加强节能管理，基本可以满足标准，甚至达到1级水平。</w:t>
      </w:r>
    </w:p>
    <w:p w14:paraId="0536EBD9">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球团</w:t>
      </w:r>
      <w:r>
        <w:rPr>
          <w:color w:val="000000" w:themeColor="text1"/>
          <w14:textFill>
            <w14:solidFill>
              <w14:schemeClr w14:val="tx1"/>
            </w14:solidFill>
          </w14:textFill>
        </w:rPr>
        <w:t>节能技术：</w:t>
      </w:r>
    </w:p>
    <w:p w14:paraId="6B1F8F20">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w:t>
      </w:r>
      <w:r>
        <w:rPr>
          <w:color w:val="000000" w:themeColor="text1"/>
          <w14:textFill>
            <w14:solidFill>
              <w14:schemeClr w14:val="tx1"/>
            </w14:solidFill>
          </w14:textFill>
        </w:rPr>
        <w:t>工艺优化与设备升级优化，如：通过调整干燥、预热、焙烧各段温度曲线，实现低温长时间干燥防爆裂、提高预热温度脱除结晶水、延长焙烧时间促进固结</w:t>
      </w:r>
      <w:r>
        <w:rPr>
          <w:rFonts w:hint="eastAsia"/>
          <w:color w:val="000000" w:themeColor="text1"/>
          <w14:textFill>
            <w14:solidFill>
              <w14:schemeClr w14:val="tx1"/>
            </w14:solidFill>
          </w14:textFill>
        </w:rPr>
        <w:t>；</w:t>
      </w:r>
    </w:p>
    <w:p w14:paraId="1EF50755">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②</w:t>
      </w:r>
      <w:r>
        <w:rPr>
          <w:color w:val="000000" w:themeColor="text1"/>
          <w14:textFill>
            <w14:solidFill>
              <w14:schemeClr w14:val="tx1"/>
            </w14:solidFill>
          </w14:textFill>
        </w:rPr>
        <w:t>能源回收与梯级利用技术</w:t>
      </w:r>
      <w:r>
        <w:rPr>
          <w:rFonts w:hint="eastAsia"/>
          <w:color w:val="000000" w:themeColor="text1"/>
          <w14:textFill>
            <w14:solidFill>
              <w14:schemeClr w14:val="tx1"/>
            </w14:solidFill>
          </w14:textFill>
        </w:rPr>
        <w:t>，如：</w:t>
      </w:r>
      <w:r>
        <w:rPr>
          <w:color w:val="000000" w:themeColor="text1"/>
          <w14:textFill>
            <w14:solidFill>
              <w14:schemeClr w14:val="tx1"/>
            </w14:solidFill>
          </w14:textFill>
        </w:rPr>
        <w:t>废气余热三级利用</w:t>
      </w:r>
      <w:r>
        <w:rPr>
          <w:rFonts w:hint="eastAsia"/>
          <w:color w:val="000000" w:themeColor="text1"/>
          <w14:textFill>
            <w14:solidFill>
              <w14:schemeClr w14:val="tx1"/>
            </w14:solidFill>
          </w14:textFill>
        </w:rPr>
        <w:t>技术等；</w:t>
      </w:r>
    </w:p>
    <w:p w14:paraId="5114FB8A">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③</w:t>
      </w:r>
      <w:r>
        <w:rPr>
          <w:color w:val="000000" w:themeColor="text1"/>
          <w14:textFill>
            <w14:solidFill>
              <w14:schemeClr w14:val="tx1"/>
            </w14:solidFill>
          </w14:textFill>
        </w:rPr>
        <w:t>原料与配矿技术创新</w:t>
      </w:r>
      <w:r>
        <w:rPr>
          <w:rFonts w:hint="eastAsia"/>
          <w:color w:val="000000" w:themeColor="text1"/>
          <w14:textFill>
            <w14:solidFill>
              <w14:schemeClr w14:val="tx1"/>
            </w14:solidFill>
          </w14:textFill>
        </w:rPr>
        <w:t>，如：</w:t>
      </w:r>
      <w:r>
        <w:rPr>
          <w:color w:val="000000" w:themeColor="text1"/>
          <w14:textFill>
            <w14:solidFill>
              <w14:schemeClr w14:val="tx1"/>
            </w14:solidFill>
          </w14:textFill>
        </w:rPr>
        <w:t>高品位铁精粉配矿优化</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循环物料资源化利用</w:t>
      </w:r>
      <w:r>
        <w:rPr>
          <w:rFonts w:hint="eastAsia"/>
          <w:color w:val="000000" w:themeColor="text1"/>
          <w14:textFill>
            <w14:solidFill>
              <w14:schemeClr w14:val="tx1"/>
            </w14:solidFill>
          </w14:textFill>
        </w:rPr>
        <w:t>等。</w:t>
      </w:r>
    </w:p>
    <w:p w14:paraId="79A25B23">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标准考虑到大部分企业没有球团工序，固指标不宜过严，但需有起到促进企业转型升级的作用。最终确定1、2、3级指标分别为28 kgce/t、32 kgce/t和36 kgce/t。</w:t>
      </w:r>
    </w:p>
    <w:p w14:paraId="180074D4">
      <w:pPr>
        <w:pStyle w:val="17"/>
        <w:numPr>
          <w:ilvl w:val="0"/>
          <w:numId w:val="5"/>
        </w:numPr>
        <w:adjustRightInd w:val="0"/>
        <w:snapToGrid w:val="0"/>
        <w:spacing w:before="0" w:beforeAutospacing="0" w:after="0" w:afterAutospacing="0"/>
        <w:rPr>
          <w:rFonts w:hint="eastAsia" w:cstheme="minorBidi"/>
          <w:b/>
          <w:bCs/>
          <w:color w:val="000000" w:themeColor="text1"/>
          <w:kern w:val="2"/>
          <w:sz w:val="21"/>
          <w14:textFill>
            <w14:solidFill>
              <w14:schemeClr w14:val="tx1"/>
            </w14:solidFill>
          </w14:textFill>
        </w:rPr>
      </w:pPr>
      <w:r>
        <w:rPr>
          <w:rFonts w:hint="eastAsia" w:cstheme="minorBidi"/>
          <w:b/>
          <w:bCs/>
          <w:color w:val="000000" w:themeColor="text1"/>
          <w:kern w:val="2"/>
          <w:sz w:val="21"/>
          <w14:textFill>
            <w14:solidFill>
              <w14:schemeClr w14:val="tx1"/>
            </w14:solidFill>
          </w14:textFill>
        </w:rPr>
        <w:t>高炉工序</w:t>
      </w:r>
    </w:p>
    <w:p w14:paraId="648EB464">
      <w:pPr>
        <w:pStyle w:val="24"/>
        <w:spacing w:line="360" w:lineRule="auto"/>
        <w:ind w:firstLine="420"/>
        <w:rPr>
          <w:rFonts w:hint="eastAsia" w:asciiTheme="minorEastAsia" w:hAnsiTheme="minorEastAsia" w:eastAsiaTheme="minorEastAsia" w:cstheme="minorEastAsia"/>
          <w:iCs/>
          <w:szCs w:val="21"/>
        </w:rPr>
      </w:pPr>
      <w:r>
        <w:rPr>
          <w:rFonts w:hint="eastAsia"/>
          <w:color w:val="000000" w:themeColor="text1"/>
          <w14:textFill>
            <w14:solidFill>
              <w14:schemeClr w14:val="tx1"/>
            </w14:solidFill>
          </w14:textFill>
        </w:rPr>
        <w:t>编制组调研了30家企业高炉工序能耗情况，详见表7。调研数据见附件。</w:t>
      </w:r>
    </w:p>
    <w:p w14:paraId="51AB5631">
      <w:pPr>
        <w:pStyle w:val="21"/>
        <w:spacing w:before="156" w:after="156"/>
        <w:rPr>
          <w:rFonts w:ascii="Times New Roman" w:eastAsia="宋体"/>
          <w:sz w:val="20"/>
        </w:rPr>
      </w:pPr>
      <w:r>
        <w:rPr>
          <w:rFonts w:hint="eastAsia"/>
        </w:rPr>
        <w:t>高炉工序能耗情况</w:t>
      </w:r>
      <w:r>
        <w:rPr>
          <w:rFonts w:hint="eastAsia" w:ascii="宋体" w:hAnsi="宋体" w:eastAsia="宋体" w:cs="宋体"/>
          <w:sz w:val="24"/>
          <w:szCs w:val="24"/>
        </w:rPr>
        <w:fldChar w:fldCharType="begin"/>
      </w:r>
      <w:r>
        <w:rPr>
          <w:rFonts w:hint="eastAsia"/>
        </w:rPr>
        <w:instrText xml:space="preserve"> </w:instrText>
      </w:r>
      <w:r>
        <w:instrText xml:space="preserve">LINK Excel.Sheet.12</w:instrText>
      </w:r>
      <w:r>
        <w:rPr>
          <w:rFonts w:hint="eastAsia"/>
        </w:rPr>
        <w:instrText xml:space="preserve"> "C:\\Users\\13648\\Desktop\\新建 XLSX 工作表.xlsx"</w:instrText>
      </w:r>
      <w:r>
        <w:instrText xml:space="preserve"> Sheet1!R1C1:R3C5 \a \f 5 \h</w:instrText>
      </w:r>
      <w:r>
        <w:rPr>
          <w:rFonts w:hint="eastAsia"/>
        </w:rPr>
        <w:instrText xml:space="preserve">  \* MERGEFORMAT </w:instrText>
      </w:r>
      <w:r>
        <w:rPr>
          <w:rFonts w:hint="eastAsia"/>
        </w:rPr>
        <w:fldChar w:fldCharType="separate"/>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2336"/>
        <w:gridCol w:w="2336"/>
        <w:gridCol w:w="2336"/>
      </w:tblGrid>
      <w:tr w14:paraId="7138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351664ED">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指标</w:t>
            </w:r>
            <w:r>
              <w:rPr>
                <w:rFonts w:ascii="宋体" w:hAnsi="宋体" w:eastAsia="宋体"/>
                <w:sz w:val="18"/>
                <w:szCs w:val="18"/>
              </w:rPr>
              <w:t>kgce/t</w:t>
            </w:r>
          </w:p>
        </w:tc>
        <w:tc>
          <w:tcPr>
            <w:tcW w:w="2336" w:type="dxa"/>
            <w:vAlign w:val="center"/>
          </w:tcPr>
          <w:p w14:paraId="372AAABF">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410</w:t>
            </w:r>
          </w:p>
        </w:tc>
        <w:tc>
          <w:tcPr>
            <w:tcW w:w="2336" w:type="dxa"/>
            <w:vAlign w:val="center"/>
          </w:tcPr>
          <w:p w14:paraId="7AE52245">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425</w:t>
            </w:r>
          </w:p>
        </w:tc>
        <w:tc>
          <w:tcPr>
            <w:tcW w:w="2336" w:type="dxa"/>
            <w:vAlign w:val="center"/>
          </w:tcPr>
          <w:p w14:paraId="4360BCCF">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440</w:t>
            </w:r>
          </w:p>
        </w:tc>
      </w:tr>
      <w:tr w14:paraId="380D0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11794016">
            <w:pPr>
              <w:snapToGrid w:val="0"/>
              <w:spacing w:before="156" w:beforeLines="50" w:line="360" w:lineRule="auto"/>
              <w:jc w:val="center"/>
              <w:outlineLvl w:val="0"/>
              <w:rPr>
                <w:rFonts w:hint="eastAsia" w:ascii="宋体" w:hAnsi="宋体" w:eastAsia="宋体"/>
                <w:sz w:val="18"/>
                <w:szCs w:val="18"/>
              </w:rPr>
            </w:pPr>
            <w:r>
              <w:rPr>
                <w:rFonts w:hint="eastAsia" w:ascii="宋体" w:hAnsi="宋体" w:eastAsia="宋体"/>
                <w:sz w:val="18"/>
                <w:szCs w:val="18"/>
              </w:rPr>
              <w:t>占比</w:t>
            </w:r>
          </w:p>
        </w:tc>
        <w:tc>
          <w:tcPr>
            <w:tcW w:w="2336" w:type="dxa"/>
          </w:tcPr>
          <w:p w14:paraId="739C4310">
            <w:pPr>
              <w:snapToGrid w:val="0"/>
              <w:spacing w:before="156" w:beforeLines="50" w:line="360" w:lineRule="auto"/>
              <w:jc w:val="center"/>
              <w:outlineLvl w:val="0"/>
              <w:rPr>
                <w:rFonts w:hint="eastAsia" w:ascii="宋体" w:hAnsi="宋体" w:eastAsia="宋体"/>
                <w:sz w:val="18"/>
                <w:szCs w:val="18"/>
              </w:rPr>
            </w:pPr>
            <w:r>
              <w:rPr>
                <w:rFonts w:ascii="宋体" w:hAnsi="宋体" w:eastAsia="宋体"/>
                <w:sz w:val="18"/>
                <w:szCs w:val="18"/>
              </w:rPr>
              <w:t>10%</w:t>
            </w:r>
          </w:p>
        </w:tc>
        <w:tc>
          <w:tcPr>
            <w:tcW w:w="2336" w:type="dxa"/>
          </w:tcPr>
          <w:p w14:paraId="4CC5AA0F">
            <w:pPr>
              <w:snapToGrid w:val="0"/>
              <w:spacing w:before="156" w:beforeLines="50" w:line="360" w:lineRule="auto"/>
              <w:jc w:val="center"/>
              <w:outlineLvl w:val="0"/>
              <w:rPr>
                <w:rFonts w:hint="eastAsia" w:ascii="宋体" w:hAnsi="宋体" w:eastAsia="宋体"/>
                <w:sz w:val="18"/>
                <w:szCs w:val="18"/>
              </w:rPr>
            </w:pPr>
            <w:r>
              <w:rPr>
                <w:rFonts w:ascii="宋体" w:hAnsi="宋体" w:eastAsia="宋体"/>
                <w:sz w:val="18"/>
                <w:szCs w:val="18"/>
              </w:rPr>
              <w:t>36.7%</w:t>
            </w:r>
          </w:p>
        </w:tc>
        <w:tc>
          <w:tcPr>
            <w:tcW w:w="2336" w:type="dxa"/>
          </w:tcPr>
          <w:p w14:paraId="5619D4FE">
            <w:pPr>
              <w:snapToGrid w:val="0"/>
              <w:spacing w:before="156" w:beforeLines="50" w:line="360" w:lineRule="auto"/>
              <w:jc w:val="center"/>
              <w:outlineLvl w:val="0"/>
              <w:rPr>
                <w:rFonts w:hint="eastAsia" w:ascii="宋体" w:hAnsi="宋体" w:eastAsia="宋体"/>
                <w:sz w:val="18"/>
                <w:szCs w:val="18"/>
              </w:rPr>
            </w:pPr>
            <w:r>
              <w:rPr>
                <w:rFonts w:ascii="宋体" w:hAnsi="宋体" w:eastAsia="宋体"/>
                <w:sz w:val="18"/>
                <w:szCs w:val="18"/>
              </w:rPr>
              <w:t>80%</w:t>
            </w:r>
          </w:p>
        </w:tc>
      </w:tr>
    </w:tbl>
    <w:p w14:paraId="66229D28">
      <w:pPr>
        <w:pStyle w:val="24"/>
        <w:spacing w:line="360" w:lineRule="auto"/>
        <w:ind w:firstLine="420"/>
        <w:rPr>
          <w:rFonts w:hint="eastAsia"/>
          <w:color w:val="000000" w:themeColor="text1"/>
          <w14:textFill>
            <w14:solidFill>
              <w14:schemeClr w14:val="tx1"/>
            </w14:solidFill>
          </w14:textFill>
        </w:rPr>
      </w:pPr>
      <w:r>
        <w:rPr>
          <w:rFonts w:hint="eastAsia"/>
        </w:rPr>
        <w:fldChar w:fldCharType="end"/>
      </w:r>
    </w:p>
    <w:p w14:paraId="58F40303">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高炉</w:t>
      </w:r>
      <w:r>
        <w:rPr>
          <w:color w:val="000000" w:themeColor="text1"/>
          <w14:textFill>
            <w14:solidFill>
              <w14:schemeClr w14:val="tx1"/>
            </w14:solidFill>
          </w14:textFill>
        </w:rPr>
        <w:t>节能技术：</w:t>
      </w:r>
    </w:p>
    <w:p w14:paraId="0153604D">
      <w:pPr>
        <w:pStyle w:val="24"/>
        <w:spacing w:line="360" w:lineRule="auto"/>
        <w:ind w:firstLine="420"/>
        <w:rPr>
          <w:rFonts w:hint="eastAsia"/>
          <w:color w:val="000000" w:themeColor="text1"/>
          <w14:textFill>
            <w14:solidFill>
              <w14:schemeClr w14:val="tx1"/>
            </w14:solidFill>
          </w14:textFill>
        </w:rPr>
      </w:pPr>
      <w:r>
        <w:rPr>
          <w:color w:val="000000" w:themeColor="text1"/>
          <w14:textFill>
            <w14:solidFill>
              <w14:schemeClr w14:val="tx1"/>
            </w14:solidFill>
          </w14:textFill>
        </w:rPr>
        <w:t>高炉炼铁工序能耗由燃料消耗和动力消耗之和扣除能源回收所组成。其节能的主要途径为：</w:t>
      </w:r>
    </w:p>
    <w:p w14:paraId="76A21D5F">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①</w:t>
      </w:r>
      <w:r>
        <w:rPr>
          <w:color w:val="000000" w:themeColor="text1"/>
          <w14:textFill>
            <w14:solidFill>
              <w14:schemeClr w14:val="tx1"/>
            </w14:solidFill>
          </w14:textFill>
        </w:rPr>
        <w:t>降低一次能源消耗加强原料的准备处理，实行精料；简化工序，改进设备和完善工艺流程，提高热工设备的热效率。合理使用动力能源，采用新技术，实现优化操作。</w:t>
      </w:r>
    </w:p>
    <w:p w14:paraId="1F66B0B8">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②</w:t>
      </w:r>
      <w:r>
        <w:rPr>
          <w:color w:val="000000" w:themeColor="text1"/>
          <w14:textFill>
            <w14:solidFill>
              <w14:schemeClr w14:val="tx1"/>
            </w14:solidFill>
          </w14:textFill>
        </w:rPr>
        <w:t>加强二次能源的回收利用</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高炉的主要能源是焦炭，而焦炭在高炉炼铁中又有不可替代的作用，因此，降低高炉能耗最主要的是降低焦比。任何增加间接还原，降低热负荷，增加显热供应，降低热支出或用其他燃料代替焦炭的方法都能降低焦比，这些方法基本有如下几种：提高风温、喷吹燃料、富氧鼓风、脱湿（或加湿）鼓风、采用高炉炉顶余压发电装置（即TRT）、将煤气透平与电动机同轴驱动的高炉鼓风机组（BPRT）。</w:t>
      </w:r>
    </w:p>
    <w:p w14:paraId="429642F0">
      <w:pPr>
        <w:pStyle w:val="24"/>
        <w:spacing w:line="360" w:lineRule="auto"/>
        <w:ind w:firstLine="420"/>
        <w:rPr>
          <w:rFonts w:hint="eastAsia" w:asciiTheme="minorEastAsia" w:hAnsiTheme="minorEastAsia" w:eastAsiaTheme="minorEastAsia" w:cstheme="minorEastAsia"/>
          <w:iCs/>
          <w:szCs w:val="21"/>
        </w:rPr>
      </w:pPr>
      <w:r>
        <w:rPr>
          <w:rFonts w:hint="eastAsia"/>
          <w:color w:val="000000" w:themeColor="text1"/>
          <w14:textFill>
            <w14:solidFill>
              <w14:schemeClr w14:val="tx1"/>
            </w14:solidFill>
          </w14:textFill>
        </w:rPr>
        <w:t>高炉工序是铸造用生铁企业关键的用能工序，编制组充分考虑行业现状，结合国家政策要求，既要对小高炉加严要求，又要给200m3和300m3以下高炉企业发展空间，不能一刀切，经编制组充分轮证和研究，最终确定1、2、3级指标分别为410 kgce/t、425 kgce/t和440 kgce/t。</w:t>
      </w:r>
    </w:p>
    <w:p w14:paraId="1424894E">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突破性成果及对产业发展的作用等情况</w:t>
      </w:r>
    </w:p>
    <w:p w14:paraId="58B426DD">
      <w:pPr>
        <w:spacing w:before="156" w:beforeLines="50" w:after="156" w:afterLines="50"/>
        <w:ind w:firstLine="422" w:firstLineChars="200"/>
        <w:outlineLvl w:val="0"/>
        <w:rPr>
          <w:rFonts w:hint="eastAsia" w:asciiTheme="minorEastAsia" w:hAnsiTheme="minorEastAsia" w:eastAsiaTheme="minorEastAsia" w:cstheme="minorEastAsia"/>
          <w:b/>
          <w:iCs/>
          <w:sz w:val="21"/>
          <w:szCs w:val="21"/>
        </w:rPr>
      </w:pPr>
      <w:r>
        <w:rPr>
          <w:rFonts w:hint="eastAsia" w:asciiTheme="minorEastAsia" w:hAnsiTheme="minorEastAsia" w:eastAsiaTheme="minorEastAsia" w:cstheme="minorEastAsia"/>
          <w:b/>
          <w:iCs/>
          <w:sz w:val="21"/>
          <w:szCs w:val="21"/>
        </w:rPr>
        <w:t>1</w:t>
      </w:r>
      <w:r>
        <w:rPr>
          <w:rFonts w:asciiTheme="minorEastAsia" w:hAnsiTheme="minorEastAsia" w:eastAsiaTheme="minorEastAsia" w:cstheme="minorEastAsia"/>
          <w:b/>
          <w:iCs/>
          <w:sz w:val="21"/>
          <w:szCs w:val="21"/>
        </w:rPr>
        <w:t>.</w:t>
      </w:r>
      <w:r>
        <w:rPr>
          <w:rFonts w:hint="eastAsia" w:asciiTheme="minorEastAsia" w:hAnsiTheme="minorEastAsia" w:eastAsiaTheme="minorEastAsia" w:cstheme="minorEastAsia"/>
          <w:b/>
          <w:iCs/>
          <w:sz w:val="21"/>
          <w:szCs w:val="21"/>
        </w:rPr>
        <w:t>突破性成果</w:t>
      </w:r>
    </w:p>
    <w:p w14:paraId="1243C89A">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统一计算口径问题： 解决了铸造用生铁行业企业能耗计算范围不统一、统计方法不一致导致的数据不可比问题。</w:t>
      </w:r>
    </w:p>
    <w:p w14:paraId="4D736707">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缺乏能效标杆问题： 填补了国家层面铸造用生铁生产主要工序能耗等级标准的空白，为企业能效对标、节能目标考核提供了量化依据。</w:t>
      </w:r>
    </w:p>
    <w:p w14:paraId="5F446264">
      <w:pPr>
        <w:spacing w:before="156" w:beforeLines="50" w:after="156" w:afterLines="50"/>
        <w:ind w:firstLine="422" w:firstLineChars="200"/>
        <w:outlineLvl w:val="0"/>
        <w:rPr>
          <w:rFonts w:hint="eastAsia" w:asciiTheme="minorEastAsia" w:hAnsiTheme="minorEastAsia" w:eastAsiaTheme="minorEastAsia" w:cstheme="minorEastAsia"/>
          <w:b/>
          <w:iCs/>
          <w:sz w:val="21"/>
          <w:szCs w:val="21"/>
        </w:rPr>
      </w:pPr>
      <w:r>
        <w:rPr>
          <w:rFonts w:hint="eastAsia" w:asciiTheme="minorEastAsia" w:hAnsiTheme="minorEastAsia" w:eastAsiaTheme="minorEastAsia" w:cstheme="minorEastAsia"/>
          <w:b/>
          <w:iCs/>
          <w:sz w:val="21"/>
          <w:szCs w:val="21"/>
        </w:rPr>
        <w:t>2.标准成果的作用</w:t>
      </w:r>
    </w:p>
    <w:p w14:paraId="51B8268B">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节能监管无据可依问题： 为政府节能主管部门开展节能监察、能效评估、固定资产投资项目节能审查等提供了技术标准支撑。</w:t>
      </w:r>
    </w:p>
    <w:p w14:paraId="20AB785E">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推动技术升级问题： 通过设定具有挑战性的先进值，倒逼企业进行节能技术改造和精细化管理，促进行业整体能效提升和绿色低碳转型。</w:t>
      </w:r>
    </w:p>
    <w:p w14:paraId="6D3567C4">
      <w:pPr>
        <w:spacing w:before="156" w:beforeLines="50" w:after="156" w:afterLines="50"/>
        <w:ind w:firstLine="422" w:firstLineChars="200"/>
        <w:outlineLvl w:val="0"/>
        <w:rPr>
          <w:rFonts w:hint="eastAsia" w:asciiTheme="minorEastAsia" w:hAnsiTheme="minorEastAsia" w:eastAsiaTheme="minorEastAsia" w:cstheme="minorEastAsia"/>
          <w:b/>
          <w:iCs/>
          <w:sz w:val="21"/>
          <w:szCs w:val="21"/>
        </w:rPr>
      </w:pPr>
      <w:r>
        <w:rPr>
          <w:rFonts w:hint="eastAsia" w:asciiTheme="minorEastAsia" w:hAnsiTheme="minorEastAsia" w:eastAsiaTheme="minorEastAsia" w:cstheme="minorEastAsia"/>
          <w:b/>
          <w:iCs/>
          <w:sz w:val="21"/>
          <w:szCs w:val="21"/>
        </w:rPr>
        <w:t>3.标准应用前景和意义</w:t>
      </w:r>
    </w:p>
    <w:p w14:paraId="34DABE31">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标准的研制可实现以下几个关键目标：</w:t>
      </w:r>
    </w:p>
    <w:p w14:paraId="46BF3E88">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引导行业绿色低碳转型：在“碳达峰、碳中和”的宏观目标下，铸造生铁行业是铸造行业的“口粮”，对推动铸造行业绿色低碳发展至关重要。该标准通过设定能耗等级，为企业树立明确的能效标杆，引导企业通过技术升级和节能改造来降低能耗，从而直接支持国家双碳战略目标的实现。</w:t>
      </w:r>
    </w:p>
    <w:p w14:paraId="31CED45A">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规范能耗统计与计算方法：标准的核心内容之一是提供清晰的统计范围和计算方法。它明确了哪些能源消耗应纳入统计（如生产系统、辅助生产系统和附属生产系统），并给出了统一的计算公式，帮助企业更准确地核算自身能耗水平，为节能管理提供可靠的数据基础，避免因统计口径不一造成的不公平竞争。</w:t>
      </w:r>
    </w:p>
    <w:p w14:paraId="66B55E94">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该标准的制定和实施，对行业和企业发展具有深远影响：</w:t>
      </w:r>
    </w:p>
    <w:p w14:paraId="56FA4475">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1）推动技术创新与产业升级：标准的引领作用将促使企业主动采纳先进的熔炼技术、高效节能的压铸设备以及余热回收等节能技术。</w:t>
      </w:r>
    </w:p>
    <w:p w14:paraId="5A211D89">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营造公平竞争的市场环境：通过建立全国统一的等级标准，能够形成“鼓励先进、淘汰落后”的机制。它为所有企业设立了相同的起跑线，使能耗低、技术先进的优质企业在市场中获得竞争优势，从而优化资源配置，助力整个行业的高质量、可持续发展。</w:t>
      </w:r>
    </w:p>
    <w:p w14:paraId="4376F33A">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3）提升企业核心竞争力与合规性：对企业而言，降低能源消耗直接意味着运营成本的下降。有助于企业应对未来的环保政策约束，开拓高端市场。</w:t>
      </w:r>
    </w:p>
    <w:p w14:paraId="455DC579">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4）支撑国家战略与行业治理：该标准为政府相关部门对铸造行业进行能耗监管、制定产业政策以及开展固定资产投资项目节能审查提供了明确的技术依据。从宏观层面保障了国家节能减排目标的落实。</w:t>
      </w:r>
    </w:p>
    <w:p w14:paraId="396D7EC9">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预期达到经济效益、社会效益或生态效益等分析</w:t>
      </w:r>
    </w:p>
    <w:p w14:paraId="38A5B7F7">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社会效益： 提升行业节能意识和能源管理水平，促进节能技术和装备的研发与应用，推动产业结构优化升级。</w:t>
      </w:r>
    </w:p>
    <w:p w14:paraId="488F5B7E">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生态效益： 显著减少化石能源消耗和二氧化碳排放，为实现国家“双碳”目标做出直接贡献。</w:t>
      </w:r>
    </w:p>
    <w:p w14:paraId="3EB5C5AB">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与国际标准、国外先进标准、国内标准等同类标准水平的对比情况，</w:t>
      </w:r>
    </w:p>
    <w:p w14:paraId="5E6D033E">
      <w:pPr>
        <w:numPr>
          <w:ilvl w:val="0"/>
          <w:numId w:val="6"/>
        </w:numPr>
        <w:ind w:left="0" w:firstLine="422" w:firstLineChars="200"/>
        <w:outlineLvl w:val="0"/>
        <w:rPr>
          <w:rFonts w:hint="eastAsia" w:asciiTheme="minorEastAsia" w:hAnsiTheme="minorEastAsia" w:eastAsiaTheme="minorEastAsia" w:cstheme="minorEastAsia"/>
          <w:b/>
          <w:bCs/>
          <w:iCs/>
          <w:sz w:val="21"/>
          <w:szCs w:val="21"/>
        </w:rPr>
      </w:pPr>
      <w:r>
        <w:rPr>
          <w:rFonts w:hint="eastAsia" w:asciiTheme="minorEastAsia" w:hAnsiTheme="minorEastAsia" w:eastAsiaTheme="minorEastAsia" w:cstheme="minorEastAsia"/>
          <w:b/>
          <w:bCs/>
          <w:iCs/>
          <w:sz w:val="21"/>
          <w:szCs w:val="21"/>
        </w:rPr>
        <w:t>与国际、国外、国内同类标准的主要差异，或与测试的国外样品的有关数据对比情况等。</w:t>
      </w:r>
    </w:p>
    <w:p w14:paraId="17223E5D">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国际、国外目前无相关标准。</w:t>
      </w:r>
    </w:p>
    <w:p w14:paraId="0A10D2C5">
      <w:pPr>
        <w:numPr>
          <w:ilvl w:val="0"/>
          <w:numId w:val="6"/>
        </w:numPr>
        <w:spacing w:before="156" w:beforeLines="50"/>
        <w:ind w:left="0" w:firstLine="422" w:firstLineChars="200"/>
        <w:outlineLvl w:val="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标准水平分析</w:t>
      </w:r>
    </w:p>
    <w:p w14:paraId="42728C09">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国际上暂无专门的铸造用生铁生产主要工序能耗等级国际标准。本标准在系统性和可操作性上达到了国际先进水平。在建立引导性的能耗等级指标体系方面，属于国内首创，填补空白，总体水平为国内领先。</w:t>
      </w:r>
    </w:p>
    <w:p w14:paraId="3F72FF26">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标准中涉及的知识产权说明</w:t>
      </w:r>
    </w:p>
    <w:p w14:paraId="39B33264">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无。</w:t>
      </w:r>
    </w:p>
    <w:p w14:paraId="2AA0FB26">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与现行相关法律、法规、规章及相关标准，特别是强制性标准的协调性说明</w:t>
      </w:r>
    </w:p>
    <w:p w14:paraId="4604B6F6">
      <w:pPr>
        <w:pStyle w:val="24"/>
        <w:spacing w:line="360" w:lineRule="auto"/>
        <w:ind w:firstLine="420"/>
        <w:rPr>
          <w:rFonts w:hint="eastAsia" w:asciiTheme="minorEastAsia" w:hAnsiTheme="minorEastAsia" w:eastAsiaTheme="minorEastAsia" w:cstheme="minorEastAsia"/>
          <w:iCs/>
          <w:sz w:val="24"/>
        </w:rPr>
      </w:pPr>
      <w:r>
        <w:rPr>
          <w:rFonts w:hint="eastAsia"/>
          <w:color w:val="000000" w:themeColor="text1"/>
          <w14:textFill>
            <w14:solidFill>
              <w14:schemeClr w14:val="tx1"/>
            </w14:solidFill>
          </w14:textFill>
        </w:rPr>
        <w:t>本标准与现行环境保护、节约能源资源等相关法律、法规、规章协调一致。</w:t>
      </w:r>
    </w:p>
    <w:p w14:paraId="3DEBD701">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对重大分歧意见的处理经过和依据</w:t>
      </w:r>
    </w:p>
    <w:p w14:paraId="1BA420D3">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无。</w:t>
      </w:r>
    </w:p>
    <w:p w14:paraId="028C01DE">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标准性质的建议说明</w:t>
      </w:r>
    </w:p>
    <w:p w14:paraId="50305280">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建议本标准的性质为国家标准指导性文件。</w:t>
      </w:r>
    </w:p>
    <w:p w14:paraId="68D9E2D3">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贯彻标准的要求和措施建议（包括组织措施、技术措施、过渡办法等内容），根据国家经济、技术政策需要和该标准涉及的产品的技术改造难度等因素提出标准的实施日期的建议</w:t>
      </w:r>
    </w:p>
    <w:p w14:paraId="09DF9FD5">
      <w:pPr>
        <w:pStyle w:val="24"/>
        <w:spacing w:line="360" w:lineRule="auto"/>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建议本标准批准发布</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个月后实施。</w:t>
      </w:r>
    </w:p>
    <w:p w14:paraId="6303666C">
      <w:pPr>
        <w:pStyle w:val="18"/>
        <w:numPr>
          <w:ilvl w:val="0"/>
          <w:numId w:val="2"/>
        </w:numPr>
        <w:spacing w:before="156" w:beforeLines="50" w:after="156" w:afterLines="50" w:line="440" w:lineRule="exact"/>
        <w:ind w:firstLineChars="0"/>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其它应予说明的事项</w:t>
      </w:r>
    </w:p>
    <w:p w14:paraId="147D3858">
      <w:pPr>
        <w:pStyle w:val="24"/>
        <w:spacing w:line="360" w:lineRule="auto"/>
        <w:ind w:firstLine="42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本标准为国家标准化指导性技术文件，不宜规范能源消耗限额，经讨论，专家建议将名称由《铸造 用生铁生产主要工序单位产品能源消耗限额》修</w:t>
      </w:r>
      <w:bookmarkStart w:id="17" w:name="_GoBack"/>
      <w:bookmarkEnd w:id="17"/>
      <w:r>
        <w:rPr>
          <w:rFonts w:hint="eastAsia"/>
          <w:color w:val="000000" w:themeColor="text1"/>
          <w14:textFill>
            <w14:solidFill>
              <w14:schemeClr w14:val="tx1"/>
            </w14:solidFill>
          </w14:textFill>
        </w:rPr>
        <w:t>改为《铸造用生铁生产主要工序单位产品能源消耗等级</w:t>
      </w:r>
      <w:r>
        <w:rPr>
          <w:rFonts w:hint="eastAsia"/>
          <w:color w:val="000000" w:themeColor="text1"/>
          <w14:textFill>
            <w14:solidFill>
              <w14:schemeClr w14:val="tx1"/>
            </w14:solidFill>
          </w14:textFill>
        </w:rPr>
        <w:t>》。</w:t>
      </w:r>
    </w:p>
    <w:p w14:paraId="22E74C28">
      <w:pPr>
        <w:pStyle w:val="2"/>
        <w:ind w:firstLine="560"/>
        <w:rPr>
          <w:rFonts w:hint="eastAsia" w:asciiTheme="minorEastAsia" w:hAnsiTheme="minorEastAsia" w:eastAsiaTheme="minorEastAsia" w:cstheme="minorEastAsia"/>
        </w:rPr>
      </w:pPr>
    </w:p>
    <w:p w14:paraId="1E615940">
      <w:pPr>
        <w:pStyle w:val="2"/>
        <w:adjustRightInd w:val="0"/>
        <w:snapToGrid w:val="0"/>
        <w:spacing w:line="440" w:lineRule="exact"/>
        <w:ind w:firstLine="482"/>
        <w:jc w:val="righ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全国绿色制造技术标准化技术委员会</w:t>
      </w:r>
    </w:p>
    <w:p w14:paraId="17A9A101">
      <w:pPr>
        <w:pStyle w:val="2"/>
        <w:wordWrap w:val="0"/>
        <w:adjustRightInd w:val="0"/>
        <w:snapToGrid w:val="0"/>
        <w:spacing w:line="440" w:lineRule="exact"/>
        <w:ind w:firstLine="482"/>
        <w:jc w:val="righ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Cs/>
          <w:sz w:val="24"/>
          <w:szCs w:val="24"/>
        </w:rPr>
        <w:t>2026年3月　</w:t>
      </w:r>
      <w:r>
        <w:rPr>
          <w:rFonts w:hint="eastAsia" w:asciiTheme="minorEastAsia" w:hAnsiTheme="minorEastAsia" w:eastAsiaTheme="minorEastAsia" w:cstheme="minorEastAsia"/>
          <w:b/>
          <w:sz w:val="24"/>
          <w:szCs w:val="24"/>
        </w:rPr>
        <w:t>　   　</w:t>
      </w:r>
    </w:p>
    <w:p w14:paraId="307EB98D">
      <w:pPr>
        <w:pStyle w:val="2"/>
      </w:pPr>
      <w:r>
        <w:rPr>
          <w:rFonts w:hint="eastAsia"/>
        </w:rPr>
        <w:br w:type="page"/>
      </w:r>
    </w:p>
    <w:p w14:paraId="2E796B1B">
      <w:pPr>
        <w:pStyle w:val="2"/>
        <w:spacing w:line="440" w:lineRule="exact"/>
        <w:ind w:right="1120" w:rightChars="400" w:firstLine="482"/>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附件：</w:t>
      </w:r>
    </w:p>
    <w:p w14:paraId="505C0F74">
      <w:pPr>
        <w:pStyle w:val="2"/>
        <w:spacing w:line="440" w:lineRule="exact"/>
        <w:ind w:right="1120" w:rightChars="400" w:firstLine="482"/>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调研数据汇总表</w:t>
      </w:r>
    </w:p>
    <w:p w14:paraId="681CA575">
      <w:pPr>
        <w:pStyle w:val="2"/>
        <w:spacing w:line="440" w:lineRule="exact"/>
        <w:ind w:firstLine="482"/>
        <w:jc w:val="righ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单位</w:t>
      </w:r>
      <w:r>
        <w:rPr>
          <w:rFonts w:hint="eastAsia" w:asciiTheme="minorEastAsia" w:hAnsiTheme="minorEastAsia" w:eastAsiaTheme="minorEastAsia" w:cstheme="minorEastAsia"/>
          <w:iCs/>
          <w:sz w:val="21"/>
          <w:szCs w:val="21"/>
        </w:rPr>
        <w:t>kgce/t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2336"/>
        <w:gridCol w:w="2336"/>
        <w:gridCol w:w="2336"/>
      </w:tblGrid>
      <w:tr w14:paraId="1E4D0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161E767A">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企业序号</w:t>
            </w:r>
          </w:p>
        </w:tc>
        <w:tc>
          <w:tcPr>
            <w:tcW w:w="2336" w:type="dxa"/>
          </w:tcPr>
          <w:p w14:paraId="29B3D920">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烧结工序能耗</w:t>
            </w:r>
          </w:p>
        </w:tc>
        <w:tc>
          <w:tcPr>
            <w:tcW w:w="2336" w:type="dxa"/>
          </w:tcPr>
          <w:p w14:paraId="739D59F1">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球团工序能耗</w:t>
            </w:r>
          </w:p>
        </w:tc>
        <w:tc>
          <w:tcPr>
            <w:tcW w:w="2336" w:type="dxa"/>
          </w:tcPr>
          <w:p w14:paraId="76907107">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高炉工序能耗</w:t>
            </w:r>
          </w:p>
        </w:tc>
      </w:tr>
      <w:tr w14:paraId="7F33A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0CA2A001">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55E0EC93">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47.3</w:t>
            </w:r>
          </w:p>
        </w:tc>
        <w:tc>
          <w:tcPr>
            <w:tcW w:w="2336" w:type="dxa"/>
          </w:tcPr>
          <w:p w14:paraId="30E0B5AB">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27.8</w:t>
            </w:r>
          </w:p>
        </w:tc>
        <w:tc>
          <w:tcPr>
            <w:tcW w:w="2336" w:type="dxa"/>
          </w:tcPr>
          <w:p w14:paraId="37A63B09">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401.7</w:t>
            </w:r>
          </w:p>
        </w:tc>
      </w:tr>
      <w:tr w14:paraId="44BB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7AB0DFE9">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6E8AE2C1">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48.4</w:t>
            </w:r>
          </w:p>
        </w:tc>
        <w:tc>
          <w:tcPr>
            <w:tcW w:w="2336" w:type="dxa"/>
          </w:tcPr>
          <w:p w14:paraId="612A02B8">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27.6</w:t>
            </w:r>
          </w:p>
        </w:tc>
        <w:tc>
          <w:tcPr>
            <w:tcW w:w="2336" w:type="dxa"/>
          </w:tcPr>
          <w:p w14:paraId="23B72962">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406.8</w:t>
            </w:r>
          </w:p>
        </w:tc>
      </w:tr>
      <w:tr w14:paraId="7F47F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0C30C296">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45A5BE26">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50.2</w:t>
            </w:r>
          </w:p>
        </w:tc>
        <w:tc>
          <w:tcPr>
            <w:tcW w:w="2336" w:type="dxa"/>
          </w:tcPr>
          <w:p w14:paraId="027C807D">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29.3</w:t>
            </w:r>
          </w:p>
        </w:tc>
        <w:tc>
          <w:tcPr>
            <w:tcW w:w="2336" w:type="dxa"/>
          </w:tcPr>
          <w:p w14:paraId="7D59F63A">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409.5</w:t>
            </w:r>
          </w:p>
        </w:tc>
      </w:tr>
      <w:tr w14:paraId="1663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08205479">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5B554A25">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51.1</w:t>
            </w:r>
          </w:p>
        </w:tc>
        <w:tc>
          <w:tcPr>
            <w:tcW w:w="2336" w:type="dxa"/>
          </w:tcPr>
          <w:p w14:paraId="720A6360">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30.5</w:t>
            </w:r>
          </w:p>
        </w:tc>
        <w:tc>
          <w:tcPr>
            <w:tcW w:w="2336" w:type="dxa"/>
          </w:tcPr>
          <w:p w14:paraId="13935655">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411.3</w:t>
            </w:r>
          </w:p>
        </w:tc>
      </w:tr>
      <w:tr w14:paraId="2F0D1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30982847">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vAlign w:val="bottom"/>
          </w:tcPr>
          <w:p w14:paraId="584DF0E0">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52.9</w:t>
            </w:r>
          </w:p>
        </w:tc>
        <w:tc>
          <w:tcPr>
            <w:tcW w:w="2336" w:type="dxa"/>
          </w:tcPr>
          <w:p w14:paraId="411EAD59">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33.1</w:t>
            </w:r>
          </w:p>
        </w:tc>
        <w:tc>
          <w:tcPr>
            <w:tcW w:w="2336" w:type="dxa"/>
          </w:tcPr>
          <w:p w14:paraId="50ECFF5B">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413.6</w:t>
            </w:r>
          </w:p>
        </w:tc>
      </w:tr>
      <w:tr w14:paraId="02AA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25820CBF">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vAlign w:val="bottom"/>
          </w:tcPr>
          <w:p w14:paraId="092FBEE7">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51.4</w:t>
            </w:r>
          </w:p>
        </w:tc>
        <w:tc>
          <w:tcPr>
            <w:tcW w:w="2336" w:type="dxa"/>
          </w:tcPr>
          <w:p w14:paraId="07BB4A49">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35.2</w:t>
            </w:r>
          </w:p>
        </w:tc>
        <w:tc>
          <w:tcPr>
            <w:tcW w:w="2336" w:type="dxa"/>
          </w:tcPr>
          <w:p w14:paraId="371D85FF">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415.8</w:t>
            </w:r>
          </w:p>
        </w:tc>
      </w:tr>
      <w:tr w14:paraId="1A80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5C310516">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vAlign w:val="bottom"/>
          </w:tcPr>
          <w:p w14:paraId="5F9D1195">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53.1</w:t>
            </w:r>
          </w:p>
        </w:tc>
        <w:tc>
          <w:tcPr>
            <w:tcW w:w="2336" w:type="dxa"/>
          </w:tcPr>
          <w:p w14:paraId="27B863E3">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34.6</w:t>
            </w:r>
          </w:p>
        </w:tc>
        <w:tc>
          <w:tcPr>
            <w:tcW w:w="2336" w:type="dxa"/>
          </w:tcPr>
          <w:p w14:paraId="67DCBE60">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418.0</w:t>
            </w:r>
          </w:p>
        </w:tc>
      </w:tr>
      <w:tr w14:paraId="186B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46BA0A93">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vAlign w:val="bottom"/>
          </w:tcPr>
          <w:p w14:paraId="6A347813">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52.0</w:t>
            </w:r>
          </w:p>
        </w:tc>
        <w:tc>
          <w:tcPr>
            <w:tcW w:w="2336" w:type="dxa"/>
          </w:tcPr>
          <w:p w14:paraId="79EF6676">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37.7</w:t>
            </w:r>
          </w:p>
        </w:tc>
        <w:tc>
          <w:tcPr>
            <w:tcW w:w="2336" w:type="dxa"/>
          </w:tcPr>
          <w:p w14:paraId="703ABCD8">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419.3</w:t>
            </w:r>
          </w:p>
        </w:tc>
      </w:tr>
      <w:tr w14:paraId="560C4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5C3C4DCE">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vAlign w:val="bottom"/>
          </w:tcPr>
          <w:p w14:paraId="1081C7C8">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54.7</w:t>
            </w:r>
          </w:p>
        </w:tc>
        <w:tc>
          <w:tcPr>
            <w:tcW w:w="2336" w:type="dxa"/>
          </w:tcPr>
          <w:p w14:paraId="5DDA055E">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100CCC74">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420.9</w:t>
            </w:r>
          </w:p>
        </w:tc>
      </w:tr>
      <w:tr w14:paraId="08B7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302B25CB">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02559792">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52.6</w:t>
            </w:r>
          </w:p>
        </w:tc>
        <w:tc>
          <w:tcPr>
            <w:tcW w:w="2336" w:type="dxa"/>
          </w:tcPr>
          <w:p w14:paraId="28A45FB5">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44F867EA">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423.6</w:t>
            </w:r>
          </w:p>
        </w:tc>
      </w:tr>
      <w:tr w14:paraId="36D4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7DDAE6B0">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51D0EF0A">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53.9</w:t>
            </w:r>
          </w:p>
        </w:tc>
        <w:tc>
          <w:tcPr>
            <w:tcW w:w="2336" w:type="dxa"/>
          </w:tcPr>
          <w:p w14:paraId="576F2B46">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5EDBF1B2">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424.8</w:t>
            </w:r>
          </w:p>
        </w:tc>
      </w:tr>
      <w:tr w14:paraId="4153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050D9EB9">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768ED693">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54.1</w:t>
            </w:r>
          </w:p>
        </w:tc>
        <w:tc>
          <w:tcPr>
            <w:tcW w:w="2336" w:type="dxa"/>
          </w:tcPr>
          <w:p w14:paraId="60CACE85">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5F61ADBD">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425.6</w:t>
            </w:r>
          </w:p>
        </w:tc>
      </w:tr>
      <w:tr w14:paraId="5880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2C4B4B8A">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5F9DBC8E">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54.7</w:t>
            </w:r>
          </w:p>
        </w:tc>
        <w:tc>
          <w:tcPr>
            <w:tcW w:w="2336" w:type="dxa"/>
          </w:tcPr>
          <w:p w14:paraId="4157821B">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55271C93">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426.9</w:t>
            </w:r>
          </w:p>
        </w:tc>
      </w:tr>
      <w:tr w14:paraId="49473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457CFEB1">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6743B187">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54.2</w:t>
            </w:r>
          </w:p>
        </w:tc>
        <w:tc>
          <w:tcPr>
            <w:tcW w:w="2336" w:type="dxa"/>
          </w:tcPr>
          <w:p w14:paraId="2AFE7118">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7E457284">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428.1</w:t>
            </w:r>
          </w:p>
        </w:tc>
      </w:tr>
      <w:tr w14:paraId="09711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4C674E2D">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vAlign w:val="bottom"/>
          </w:tcPr>
          <w:p w14:paraId="322EEE1D">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56.4</w:t>
            </w:r>
          </w:p>
        </w:tc>
        <w:tc>
          <w:tcPr>
            <w:tcW w:w="2336" w:type="dxa"/>
          </w:tcPr>
          <w:p w14:paraId="4D71993D">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1A1096AC">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428.3</w:t>
            </w:r>
          </w:p>
        </w:tc>
      </w:tr>
      <w:tr w14:paraId="7599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147B4D41">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vAlign w:val="bottom"/>
          </w:tcPr>
          <w:p w14:paraId="594F74A7">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56.6</w:t>
            </w:r>
          </w:p>
        </w:tc>
        <w:tc>
          <w:tcPr>
            <w:tcW w:w="2336" w:type="dxa"/>
          </w:tcPr>
          <w:p w14:paraId="583B13CB">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6D732683">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429.1</w:t>
            </w:r>
          </w:p>
        </w:tc>
      </w:tr>
      <w:tr w14:paraId="3A969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1ACFCB95">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vAlign w:val="bottom"/>
          </w:tcPr>
          <w:p w14:paraId="30C1CA0D">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56.5</w:t>
            </w:r>
          </w:p>
        </w:tc>
        <w:tc>
          <w:tcPr>
            <w:tcW w:w="2336" w:type="dxa"/>
          </w:tcPr>
          <w:p w14:paraId="15713409">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32E5F28B">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430.9</w:t>
            </w:r>
          </w:p>
        </w:tc>
      </w:tr>
      <w:tr w14:paraId="490F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3F368337">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2954AC33">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56.7</w:t>
            </w:r>
          </w:p>
        </w:tc>
        <w:tc>
          <w:tcPr>
            <w:tcW w:w="2336" w:type="dxa"/>
          </w:tcPr>
          <w:p w14:paraId="305EE47D">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43705F95">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431.2</w:t>
            </w:r>
          </w:p>
        </w:tc>
      </w:tr>
      <w:tr w14:paraId="2E62E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7C10143A">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0FE4DFB2">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56.9</w:t>
            </w:r>
          </w:p>
        </w:tc>
        <w:tc>
          <w:tcPr>
            <w:tcW w:w="2336" w:type="dxa"/>
          </w:tcPr>
          <w:p w14:paraId="5A66756C">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27B38E32">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434.1</w:t>
            </w:r>
          </w:p>
        </w:tc>
      </w:tr>
      <w:tr w14:paraId="3DDF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2309BCC8">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479C0120">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56.8</w:t>
            </w:r>
          </w:p>
        </w:tc>
        <w:tc>
          <w:tcPr>
            <w:tcW w:w="2336" w:type="dxa"/>
          </w:tcPr>
          <w:p w14:paraId="46E3F281">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31DB1C73">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435.5</w:t>
            </w:r>
          </w:p>
        </w:tc>
      </w:tr>
      <w:tr w14:paraId="5DDF1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382484BC">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6C050140">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60.1</w:t>
            </w:r>
          </w:p>
        </w:tc>
        <w:tc>
          <w:tcPr>
            <w:tcW w:w="2336" w:type="dxa"/>
          </w:tcPr>
          <w:p w14:paraId="170DF61B">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0DA7150C">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436.8</w:t>
            </w:r>
          </w:p>
        </w:tc>
      </w:tr>
      <w:tr w14:paraId="48F2A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52DEF037">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4DB25FB9">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59.9</w:t>
            </w:r>
          </w:p>
        </w:tc>
        <w:tc>
          <w:tcPr>
            <w:tcW w:w="2336" w:type="dxa"/>
          </w:tcPr>
          <w:p w14:paraId="4F0F0BB5">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0F40EDE2">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437.2</w:t>
            </w:r>
          </w:p>
        </w:tc>
      </w:tr>
      <w:tr w14:paraId="7987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1F72CDDB">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12500994">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57.8</w:t>
            </w:r>
          </w:p>
        </w:tc>
        <w:tc>
          <w:tcPr>
            <w:tcW w:w="2336" w:type="dxa"/>
          </w:tcPr>
          <w:p w14:paraId="238C1D07">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51425A1A">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438.6</w:t>
            </w:r>
          </w:p>
        </w:tc>
      </w:tr>
      <w:tr w14:paraId="0400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5D39E1DF">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109AFF02">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58.2</w:t>
            </w:r>
          </w:p>
        </w:tc>
        <w:tc>
          <w:tcPr>
            <w:tcW w:w="2336" w:type="dxa"/>
          </w:tcPr>
          <w:p w14:paraId="25359EC9">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15193B32">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439.1</w:t>
            </w:r>
          </w:p>
        </w:tc>
      </w:tr>
      <w:tr w14:paraId="1CDA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51D93C84">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15F3748A">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58.3</w:t>
            </w:r>
          </w:p>
        </w:tc>
        <w:tc>
          <w:tcPr>
            <w:tcW w:w="2336" w:type="dxa"/>
          </w:tcPr>
          <w:p w14:paraId="37CA8AC8">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703ADA6B">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440.9</w:t>
            </w:r>
          </w:p>
        </w:tc>
      </w:tr>
      <w:tr w14:paraId="40FC0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15E5E9DB">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30493CEB">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60.5</w:t>
            </w:r>
          </w:p>
        </w:tc>
        <w:tc>
          <w:tcPr>
            <w:tcW w:w="2336" w:type="dxa"/>
          </w:tcPr>
          <w:p w14:paraId="04B2CC5B">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5A566F63">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443.1</w:t>
            </w:r>
          </w:p>
        </w:tc>
      </w:tr>
      <w:tr w14:paraId="371B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1FED4009">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6BBE57C2">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61.2</w:t>
            </w:r>
          </w:p>
        </w:tc>
        <w:tc>
          <w:tcPr>
            <w:tcW w:w="2336" w:type="dxa"/>
          </w:tcPr>
          <w:p w14:paraId="00399A0D">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3CD79FD7">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446.9</w:t>
            </w:r>
          </w:p>
        </w:tc>
      </w:tr>
      <w:tr w14:paraId="01EF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4393F327">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1DE3E873">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63.4</w:t>
            </w:r>
          </w:p>
        </w:tc>
        <w:tc>
          <w:tcPr>
            <w:tcW w:w="2336" w:type="dxa"/>
          </w:tcPr>
          <w:p w14:paraId="4B594FFB">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3C5E1F9C">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447.4</w:t>
            </w:r>
          </w:p>
        </w:tc>
      </w:tr>
      <w:tr w14:paraId="1A74A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59087AC8">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355B3189">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67.3</w:t>
            </w:r>
          </w:p>
        </w:tc>
        <w:tc>
          <w:tcPr>
            <w:tcW w:w="2336" w:type="dxa"/>
          </w:tcPr>
          <w:p w14:paraId="06882E50">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316568DD">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449.0</w:t>
            </w:r>
          </w:p>
        </w:tc>
      </w:tr>
      <w:tr w14:paraId="073F7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08A2C3D7">
            <w:pPr>
              <w:pStyle w:val="2"/>
              <w:numPr>
                <w:ilvl w:val="0"/>
                <w:numId w:val="7"/>
              </w:numPr>
              <w:spacing w:line="440" w:lineRule="exact"/>
              <w:jc w:val="center"/>
              <w:rPr>
                <w:rFonts w:hint="eastAsia" w:asciiTheme="minorEastAsia" w:hAnsiTheme="minorEastAsia" w:eastAsiaTheme="minorEastAsia" w:cstheme="minorEastAsia"/>
                <w:bCs/>
                <w:sz w:val="24"/>
                <w:szCs w:val="24"/>
              </w:rPr>
            </w:pPr>
          </w:p>
        </w:tc>
        <w:tc>
          <w:tcPr>
            <w:tcW w:w="2336" w:type="dxa"/>
          </w:tcPr>
          <w:p w14:paraId="673FC294">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14189FCE">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2336" w:type="dxa"/>
          </w:tcPr>
          <w:p w14:paraId="0FB754DE">
            <w:pPr>
              <w:pStyle w:val="2"/>
              <w:spacing w:line="44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454.2</w:t>
            </w:r>
          </w:p>
        </w:tc>
      </w:tr>
    </w:tbl>
    <w:p w14:paraId="69312B63">
      <w:pPr>
        <w:pStyle w:val="2"/>
        <w:spacing w:line="440" w:lineRule="exact"/>
        <w:ind w:right="1120" w:rightChars="400" w:firstLine="482"/>
        <w:jc w:val="center"/>
        <w:rPr>
          <w:rFonts w:hint="eastAsia" w:asciiTheme="minorEastAsia" w:hAnsiTheme="minorEastAsia" w:eastAsiaTheme="minorEastAsia" w:cstheme="minorEastAsia"/>
          <w:b/>
          <w:sz w:val="24"/>
          <w:szCs w:val="24"/>
        </w:rPr>
      </w:pPr>
    </w:p>
    <w:sectPr>
      <w:footerReference r:id="rId3" w:type="default"/>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楷体_GB2312">
    <w:panose1 w:val="02010609030101010101"/>
    <w:charset w:val="86"/>
    <w:family w:val="modern"/>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9442610"/>
    </w:sdtPr>
    <w:sdtContent>
      <w:sdt>
        <w:sdtPr>
          <w:id w:val="-1669238322"/>
        </w:sdtPr>
        <w:sdtContent>
          <w:p w14:paraId="4DAD7612">
            <w:pPr>
              <w:pStyle w:val="5"/>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16</w:t>
            </w:r>
            <w:r>
              <w:rPr>
                <w:b/>
                <w:bCs/>
                <w:sz w:val="24"/>
                <w:szCs w:val="24"/>
              </w:rPr>
              <w:fldChar w:fldCharType="end"/>
            </w:r>
          </w:p>
        </w:sdtContent>
      </w:sdt>
    </w:sdtContent>
  </w:sdt>
  <w:p w14:paraId="129760CA">
    <w:pPr>
      <w:pStyle w:val="5"/>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01240C"/>
    <w:multiLevelType w:val="singleLevel"/>
    <w:tmpl w:val="AA01240C"/>
    <w:lvl w:ilvl="0" w:tentative="0">
      <w:start w:val="1"/>
      <w:numFmt w:val="decimal"/>
      <w:suff w:val="nothing"/>
      <w:lvlText w:val="%1."/>
      <w:lvlJc w:val="left"/>
      <w:pPr>
        <w:ind w:left="425" w:hanging="425"/>
      </w:pPr>
      <w:rPr>
        <w:rFonts w:hint="default"/>
      </w:rPr>
    </w:lvl>
  </w:abstractNum>
  <w:abstractNum w:abstractNumId="1">
    <w:nsid w:val="25075A1E"/>
    <w:multiLevelType w:val="multilevel"/>
    <w:tmpl w:val="25075A1E"/>
    <w:lvl w:ilvl="0" w:tentative="0">
      <w:start w:val="1"/>
      <w:numFmt w:val="decimal"/>
      <w:suff w:val="nothing"/>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1B2944"/>
    <w:multiLevelType w:val="multilevel"/>
    <w:tmpl w:val="251B294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294B4D9D"/>
    <w:multiLevelType w:val="multilevel"/>
    <w:tmpl w:val="294B4D9D"/>
    <w:lvl w:ilvl="0" w:tentative="0">
      <w:start w:val="1"/>
      <w:numFmt w:val="decimal"/>
      <w:lvlText w:val="（%1）"/>
      <w:lvlJc w:val="left"/>
      <w:pPr>
        <w:ind w:left="1202" w:hanging="720"/>
      </w:pPr>
      <w:rPr>
        <w:rFonts w:hint="default"/>
      </w:rPr>
    </w:lvl>
    <w:lvl w:ilvl="1" w:tentative="0">
      <w:start w:val="1"/>
      <w:numFmt w:val="decimalEnclosedCircle"/>
      <w:lvlText w:val="%2"/>
      <w:lvlJc w:val="left"/>
      <w:pPr>
        <w:ind w:left="1282" w:hanging="360"/>
      </w:pPr>
      <w:rPr>
        <w:rFonts w:hint="default"/>
      </w:r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4">
    <w:nsid w:val="50F645BC"/>
    <w:multiLevelType w:val="multilevel"/>
    <w:tmpl w:val="50F645BC"/>
    <w:lvl w:ilvl="0" w:tentative="0">
      <w:start w:val="1"/>
      <w:numFmt w:val="chineseCountingThousand"/>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5">
    <w:nsid w:val="53369F46"/>
    <w:multiLevelType w:val="singleLevel"/>
    <w:tmpl w:val="53369F46"/>
    <w:lvl w:ilvl="0" w:tentative="0">
      <w:start w:val="1"/>
      <w:numFmt w:val="decimal"/>
      <w:suff w:val="nothing"/>
      <w:lvlText w:val="%1."/>
      <w:lvlJc w:val="left"/>
      <w:pPr>
        <w:ind w:left="425" w:hanging="425"/>
      </w:pPr>
      <w:rPr>
        <w:rFonts w:hint="default"/>
        <w:b/>
        <w:bCs/>
      </w:rPr>
    </w:lvl>
  </w:abstractNum>
  <w:abstractNum w:abstractNumId="6">
    <w:nsid w:val="646260FA"/>
    <w:multiLevelType w:val="multilevel"/>
    <w:tmpl w:val="646260FA"/>
    <w:lvl w:ilvl="0" w:tentative="0">
      <w:start w:val="1"/>
      <w:numFmt w:val="decimal"/>
      <w:pStyle w:val="21"/>
      <w:suff w:val="nothing"/>
      <w:lvlText w:val="表%1　"/>
      <w:lvlJc w:val="left"/>
      <w:pPr>
        <w:ind w:left="0" w:firstLine="0"/>
      </w:pPr>
      <w:rPr>
        <w:rFonts w:hint="default"/>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6"/>
  </w:num>
  <w:num w:numId="2">
    <w:abstractNumId w:val="4"/>
  </w:num>
  <w:num w:numId="3">
    <w:abstractNumId w:val="1"/>
  </w:num>
  <w:num w:numId="4">
    <w:abstractNumId w:val="5"/>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1Njc0YzAxNWJlNGE1MmExZTRiZGU1YzNkNmMzOTkifQ=="/>
  </w:docVars>
  <w:rsids>
    <w:rsidRoot w:val="001863DE"/>
    <w:rsid w:val="00001A3F"/>
    <w:rsid w:val="0000726F"/>
    <w:rsid w:val="000108AF"/>
    <w:rsid w:val="0001473D"/>
    <w:rsid w:val="000161A0"/>
    <w:rsid w:val="000170D0"/>
    <w:rsid w:val="000179D3"/>
    <w:rsid w:val="0002356C"/>
    <w:rsid w:val="0003139E"/>
    <w:rsid w:val="0003186F"/>
    <w:rsid w:val="000415F3"/>
    <w:rsid w:val="000432E7"/>
    <w:rsid w:val="000513B6"/>
    <w:rsid w:val="00051573"/>
    <w:rsid w:val="0006203D"/>
    <w:rsid w:val="00067D5C"/>
    <w:rsid w:val="00076C6A"/>
    <w:rsid w:val="00086BF5"/>
    <w:rsid w:val="00087BC3"/>
    <w:rsid w:val="000925AB"/>
    <w:rsid w:val="00096139"/>
    <w:rsid w:val="00097516"/>
    <w:rsid w:val="000A7FC0"/>
    <w:rsid w:val="000B0DA8"/>
    <w:rsid w:val="000B550E"/>
    <w:rsid w:val="000B6AC5"/>
    <w:rsid w:val="000C1FF9"/>
    <w:rsid w:val="000C581B"/>
    <w:rsid w:val="000D284C"/>
    <w:rsid w:val="000D42DA"/>
    <w:rsid w:val="000E387D"/>
    <w:rsid w:val="000E49BC"/>
    <w:rsid w:val="000F0EF9"/>
    <w:rsid w:val="00106069"/>
    <w:rsid w:val="00107440"/>
    <w:rsid w:val="00132AB1"/>
    <w:rsid w:val="00140214"/>
    <w:rsid w:val="00140FC6"/>
    <w:rsid w:val="00152478"/>
    <w:rsid w:val="0015427E"/>
    <w:rsid w:val="00154522"/>
    <w:rsid w:val="00154692"/>
    <w:rsid w:val="0015471A"/>
    <w:rsid w:val="00161E3A"/>
    <w:rsid w:val="00167513"/>
    <w:rsid w:val="0017224D"/>
    <w:rsid w:val="001731C6"/>
    <w:rsid w:val="00173FE2"/>
    <w:rsid w:val="00174DA5"/>
    <w:rsid w:val="00185B1E"/>
    <w:rsid w:val="00185C2B"/>
    <w:rsid w:val="001863DE"/>
    <w:rsid w:val="001863F9"/>
    <w:rsid w:val="0019026D"/>
    <w:rsid w:val="001A0DF0"/>
    <w:rsid w:val="001A1AB8"/>
    <w:rsid w:val="001A471C"/>
    <w:rsid w:val="001B0273"/>
    <w:rsid w:val="001C3DC5"/>
    <w:rsid w:val="001D13AE"/>
    <w:rsid w:val="001E1E29"/>
    <w:rsid w:val="001E47A9"/>
    <w:rsid w:val="00201FF0"/>
    <w:rsid w:val="00213C0A"/>
    <w:rsid w:val="00215442"/>
    <w:rsid w:val="002351B3"/>
    <w:rsid w:val="00236C39"/>
    <w:rsid w:val="00247A89"/>
    <w:rsid w:val="002517FE"/>
    <w:rsid w:val="00253F59"/>
    <w:rsid w:val="0026601A"/>
    <w:rsid w:val="002722B8"/>
    <w:rsid w:val="00275F15"/>
    <w:rsid w:val="00281C1E"/>
    <w:rsid w:val="0028335E"/>
    <w:rsid w:val="002857BE"/>
    <w:rsid w:val="0028654C"/>
    <w:rsid w:val="00292A8F"/>
    <w:rsid w:val="002B1756"/>
    <w:rsid w:val="002B3B72"/>
    <w:rsid w:val="002C45CF"/>
    <w:rsid w:val="002D44F0"/>
    <w:rsid w:val="002D6AD1"/>
    <w:rsid w:val="002D7EAD"/>
    <w:rsid w:val="002E306F"/>
    <w:rsid w:val="002E3F3A"/>
    <w:rsid w:val="002F1E3B"/>
    <w:rsid w:val="0030205F"/>
    <w:rsid w:val="00302681"/>
    <w:rsid w:val="00303B43"/>
    <w:rsid w:val="00316CA3"/>
    <w:rsid w:val="00340E9E"/>
    <w:rsid w:val="003466AD"/>
    <w:rsid w:val="00354380"/>
    <w:rsid w:val="00362E30"/>
    <w:rsid w:val="00362F47"/>
    <w:rsid w:val="003661F3"/>
    <w:rsid w:val="0037160B"/>
    <w:rsid w:val="00373440"/>
    <w:rsid w:val="0038012D"/>
    <w:rsid w:val="00394A9C"/>
    <w:rsid w:val="0039697F"/>
    <w:rsid w:val="003A1916"/>
    <w:rsid w:val="003A1F51"/>
    <w:rsid w:val="003B15BC"/>
    <w:rsid w:val="003C59E3"/>
    <w:rsid w:val="003C66DF"/>
    <w:rsid w:val="003C6E21"/>
    <w:rsid w:val="003D0A06"/>
    <w:rsid w:val="003D3CD7"/>
    <w:rsid w:val="003D51E8"/>
    <w:rsid w:val="003D7288"/>
    <w:rsid w:val="003D7AB2"/>
    <w:rsid w:val="003E6AFF"/>
    <w:rsid w:val="003F0072"/>
    <w:rsid w:val="003F47F4"/>
    <w:rsid w:val="003F4F2E"/>
    <w:rsid w:val="003F555D"/>
    <w:rsid w:val="003F6BB9"/>
    <w:rsid w:val="00400270"/>
    <w:rsid w:val="004003C2"/>
    <w:rsid w:val="0040103C"/>
    <w:rsid w:val="00410E35"/>
    <w:rsid w:val="00411AE5"/>
    <w:rsid w:val="004261B3"/>
    <w:rsid w:val="00440798"/>
    <w:rsid w:val="00454C44"/>
    <w:rsid w:val="00457D07"/>
    <w:rsid w:val="00461D35"/>
    <w:rsid w:val="00467A30"/>
    <w:rsid w:val="00473095"/>
    <w:rsid w:val="00475E2D"/>
    <w:rsid w:val="00482C1C"/>
    <w:rsid w:val="00482F59"/>
    <w:rsid w:val="004841E7"/>
    <w:rsid w:val="00487EDC"/>
    <w:rsid w:val="0049087A"/>
    <w:rsid w:val="004A1FE8"/>
    <w:rsid w:val="004A6713"/>
    <w:rsid w:val="004B5AFF"/>
    <w:rsid w:val="004B61AD"/>
    <w:rsid w:val="004C178F"/>
    <w:rsid w:val="004C48A6"/>
    <w:rsid w:val="004C6A10"/>
    <w:rsid w:val="004D12E9"/>
    <w:rsid w:val="004F6CDD"/>
    <w:rsid w:val="0050113F"/>
    <w:rsid w:val="005042DD"/>
    <w:rsid w:val="00505A4D"/>
    <w:rsid w:val="00522E93"/>
    <w:rsid w:val="005230F7"/>
    <w:rsid w:val="0053432B"/>
    <w:rsid w:val="00541433"/>
    <w:rsid w:val="0054172C"/>
    <w:rsid w:val="00541D37"/>
    <w:rsid w:val="00545DCB"/>
    <w:rsid w:val="0054606D"/>
    <w:rsid w:val="00550061"/>
    <w:rsid w:val="00550EC7"/>
    <w:rsid w:val="0055286C"/>
    <w:rsid w:val="00556CF1"/>
    <w:rsid w:val="00560552"/>
    <w:rsid w:val="005A3959"/>
    <w:rsid w:val="005A41CE"/>
    <w:rsid w:val="005B06B2"/>
    <w:rsid w:val="005B49BA"/>
    <w:rsid w:val="005C2E6B"/>
    <w:rsid w:val="005C48E8"/>
    <w:rsid w:val="005C6757"/>
    <w:rsid w:val="005D6CFA"/>
    <w:rsid w:val="005E63C3"/>
    <w:rsid w:val="005E73D3"/>
    <w:rsid w:val="005E77A5"/>
    <w:rsid w:val="005F77C4"/>
    <w:rsid w:val="006003FF"/>
    <w:rsid w:val="00600C8B"/>
    <w:rsid w:val="006320FA"/>
    <w:rsid w:val="006344E8"/>
    <w:rsid w:val="00643A18"/>
    <w:rsid w:val="00653954"/>
    <w:rsid w:val="00654D32"/>
    <w:rsid w:val="00660B75"/>
    <w:rsid w:val="00670504"/>
    <w:rsid w:val="00671329"/>
    <w:rsid w:val="00671515"/>
    <w:rsid w:val="0067406A"/>
    <w:rsid w:val="00683155"/>
    <w:rsid w:val="00692862"/>
    <w:rsid w:val="006A247C"/>
    <w:rsid w:val="006A41EB"/>
    <w:rsid w:val="006A4C7B"/>
    <w:rsid w:val="006B240F"/>
    <w:rsid w:val="006C3215"/>
    <w:rsid w:val="006C4F32"/>
    <w:rsid w:val="006C6E69"/>
    <w:rsid w:val="006C7C03"/>
    <w:rsid w:val="006D4908"/>
    <w:rsid w:val="006D67A7"/>
    <w:rsid w:val="006D7D60"/>
    <w:rsid w:val="006E5B46"/>
    <w:rsid w:val="006E7E9A"/>
    <w:rsid w:val="006F28B7"/>
    <w:rsid w:val="007069E0"/>
    <w:rsid w:val="00715BDE"/>
    <w:rsid w:val="00716FF1"/>
    <w:rsid w:val="00720196"/>
    <w:rsid w:val="00722778"/>
    <w:rsid w:val="007321E7"/>
    <w:rsid w:val="00736986"/>
    <w:rsid w:val="0075540F"/>
    <w:rsid w:val="00757C6C"/>
    <w:rsid w:val="00776DB4"/>
    <w:rsid w:val="00777558"/>
    <w:rsid w:val="00786A02"/>
    <w:rsid w:val="0079103D"/>
    <w:rsid w:val="00792AE3"/>
    <w:rsid w:val="007A7FB2"/>
    <w:rsid w:val="007B0CEA"/>
    <w:rsid w:val="007B2E52"/>
    <w:rsid w:val="007F7264"/>
    <w:rsid w:val="00800824"/>
    <w:rsid w:val="008029E6"/>
    <w:rsid w:val="008045E1"/>
    <w:rsid w:val="008071F3"/>
    <w:rsid w:val="00822864"/>
    <w:rsid w:val="008344E9"/>
    <w:rsid w:val="00845A3D"/>
    <w:rsid w:val="008553EE"/>
    <w:rsid w:val="00856AC2"/>
    <w:rsid w:val="00860CD9"/>
    <w:rsid w:val="00862948"/>
    <w:rsid w:val="00862AA4"/>
    <w:rsid w:val="00865208"/>
    <w:rsid w:val="00875783"/>
    <w:rsid w:val="00882EE3"/>
    <w:rsid w:val="00884399"/>
    <w:rsid w:val="00895ABA"/>
    <w:rsid w:val="008A5170"/>
    <w:rsid w:val="008A5E8F"/>
    <w:rsid w:val="008B2335"/>
    <w:rsid w:val="008C10FA"/>
    <w:rsid w:val="008C3327"/>
    <w:rsid w:val="008E0219"/>
    <w:rsid w:val="008E3944"/>
    <w:rsid w:val="008E7266"/>
    <w:rsid w:val="008F0AAC"/>
    <w:rsid w:val="008F2A2C"/>
    <w:rsid w:val="008F5404"/>
    <w:rsid w:val="00911EA7"/>
    <w:rsid w:val="009131D4"/>
    <w:rsid w:val="00916FE3"/>
    <w:rsid w:val="009253D2"/>
    <w:rsid w:val="00926C44"/>
    <w:rsid w:val="00936455"/>
    <w:rsid w:val="00936AE1"/>
    <w:rsid w:val="00942F48"/>
    <w:rsid w:val="009437B2"/>
    <w:rsid w:val="00945978"/>
    <w:rsid w:val="0094695C"/>
    <w:rsid w:val="009513FD"/>
    <w:rsid w:val="00952B23"/>
    <w:rsid w:val="00957D13"/>
    <w:rsid w:val="0096222A"/>
    <w:rsid w:val="00965D6A"/>
    <w:rsid w:val="00967E51"/>
    <w:rsid w:val="0097547A"/>
    <w:rsid w:val="009770DA"/>
    <w:rsid w:val="00981AA6"/>
    <w:rsid w:val="00992ECE"/>
    <w:rsid w:val="00995CA7"/>
    <w:rsid w:val="009A7551"/>
    <w:rsid w:val="009B5A60"/>
    <w:rsid w:val="009B6824"/>
    <w:rsid w:val="009B6EC9"/>
    <w:rsid w:val="009E0B0E"/>
    <w:rsid w:val="009F2B10"/>
    <w:rsid w:val="00A053F4"/>
    <w:rsid w:val="00A124AF"/>
    <w:rsid w:val="00A17439"/>
    <w:rsid w:val="00A20532"/>
    <w:rsid w:val="00A21FCC"/>
    <w:rsid w:val="00A2279A"/>
    <w:rsid w:val="00A32C41"/>
    <w:rsid w:val="00A3462F"/>
    <w:rsid w:val="00A40F74"/>
    <w:rsid w:val="00A454A3"/>
    <w:rsid w:val="00A45E89"/>
    <w:rsid w:val="00A47D47"/>
    <w:rsid w:val="00A5190B"/>
    <w:rsid w:val="00A660F9"/>
    <w:rsid w:val="00AB7CDC"/>
    <w:rsid w:val="00AC1D5A"/>
    <w:rsid w:val="00AC4AD0"/>
    <w:rsid w:val="00AC50CA"/>
    <w:rsid w:val="00AD1AA8"/>
    <w:rsid w:val="00AD2020"/>
    <w:rsid w:val="00AD48B4"/>
    <w:rsid w:val="00AD5BD0"/>
    <w:rsid w:val="00AE3A10"/>
    <w:rsid w:val="00B00146"/>
    <w:rsid w:val="00B00BF9"/>
    <w:rsid w:val="00B0664B"/>
    <w:rsid w:val="00B12AE2"/>
    <w:rsid w:val="00B26DA4"/>
    <w:rsid w:val="00B331CD"/>
    <w:rsid w:val="00B374C4"/>
    <w:rsid w:val="00B41BBB"/>
    <w:rsid w:val="00B46399"/>
    <w:rsid w:val="00B5365E"/>
    <w:rsid w:val="00B53A69"/>
    <w:rsid w:val="00B553BC"/>
    <w:rsid w:val="00B55FF2"/>
    <w:rsid w:val="00B57235"/>
    <w:rsid w:val="00B57F5A"/>
    <w:rsid w:val="00B71AAA"/>
    <w:rsid w:val="00B75803"/>
    <w:rsid w:val="00B77905"/>
    <w:rsid w:val="00B823F0"/>
    <w:rsid w:val="00B8396A"/>
    <w:rsid w:val="00B839C9"/>
    <w:rsid w:val="00B86ECA"/>
    <w:rsid w:val="00B94AE2"/>
    <w:rsid w:val="00B96BE6"/>
    <w:rsid w:val="00BA056A"/>
    <w:rsid w:val="00BA1A4C"/>
    <w:rsid w:val="00BC2B2A"/>
    <w:rsid w:val="00BC469B"/>
    <w:rsid w:val="00BE1ABC"/>
    <w:rsid w:val="00BF3012"/>
    <w:rsid w:val="00BF4B39"/>
    <w:rsid w:val="00C067D3"/>
    <w:rsid w:val="00C11342"/>
    <w:rsid w:val="00C23EC9"/>
    <w:rsid w:val="00C30D23"/>
    <w:rsid w:val="00C34321"/>
    <w:rsid w:val="00C44C6D"/>
    <w:rsid w:val="00C45014"/>
    <w:rsid w:val="00C45956"/>
    <w:rsid w:val="00C55AA3"/>
    <w:rsid w:val="00C56267"/>
    <w:rsid w:val="00C5642E"/>
    <w:rsid w:val="00C706CB"/>
    <w:rsid w:val="00C70D75"/>
    <w:rsid w:val="00C7273F"/>
    <w:rsid w:val="00C73723"/>
    <w:rsid w:val="00C74117"/>
    <w:rsid w:val="00C754AF"/>
    <w:rsid w:val="00C76F9B"/>
    <w:rsid w:val="00C90B52"/>
    <w:rsid w:val="00C936F6"/>
    <w:rsid w:val="00CA396D"/>
    <w:rsid w:val="00CB5304"/>
    <w:rsid w:val="00CC2D26"/>
    <w:rsid w:val="00CC3F88"/>
    <w:rsid w:val="00CC5513"/>
    <w:rsid w:val="00CC712C"/>
    <w:rsid w:val="00CC786E"/>
    <w:rsid w:val="00CD1D5C"/>
    <w:rsid w:val="00CD49BE"/>
    <w:rsid w:val="00CD60EA"/>
    <w:rsid w:val="00CD7437"/>
    <w:rsid w:val="00CE089B"/>
    <w:rsid w:val="00CE20C7"/>
    <w:rsid w:val="00CF6EB7"/>
    <w:rsid w:val="00CF793D"/>
    <w:rsid w:val="00D01E88"/>
    <w:rsid w:val="00D03B82"/>
    <w:rsid w:val="00D044C2"/>
    <w:rsid w:val="00D108E5"/>
    <w:rsid w:val="00D11012"/>
    <w:rsid w:val="00D2356A"/>
    <w:rsid w:val="00D23C5E"/>
    <w:rsid w:val="00D352F4"/>
    <w:rsid w:val="00D44733"/>
    <w:rsid w:val="00D52191"/>
    <w:rsid w:val="00D577EA"/>
    <w:rsid w:val="00D62F84"/>
    <w:rsid w:val="00D77ABC"/>
    <w:rsid w:val="00D91D4E"/>
    <w:rsid w:val="00D94B85"/>
    <w:rsid w:val="00DA38C1"/>
    <w:rsid w:val="00DA54D6"/>
    <w:rsid w:val="00DB1B8A"/>
    <w:rsid w:val="00DB201E"/>
    <w:rsid w:val="00DB2C77"/>
    <w:rsid w:val="00DC300E"/>
    <w:rsid w:val="00DC7017"/>
    <w:rsid w:val="00DD2181"/>
    <w:rsid w:val="00DD33D9"/>
    <w:rsid w:val="00E113FE"/>
    <w:rsid w:val="00E21501"/>
    <w:rsid w:val="00E260F1"/>
    <w:rsid w:val="00E41500"/>
    <w:rsid w:val="00E467F9"/>
    <w:rsid w:val="00E475CC"/>
    <w:rsid w:val="00E51962"/>
    <w:rsid w:val="00E51F31"/>
    <w:rsid w:val="00E52F76"/>
    <w:rsid w:val="00E53DF6"/>
    <w:rsid w:val="00E60B49"/>
    <w:rsid w:val="00E62C82"/>
    <w:rsid w:val="00E67EB3"/>
    <w:rsid w:val="00E714B8"/>
    <w:rsid w:val="00E8139A"/>
    <w:rsid w:val="00E83D70"/>
    <w:rsid w:val="00E84321"/>
    <w:rsid w:val="00E84EF0"/>
    <w:rsid w:val="00E87D07"/>
    <w:rsid w:val="00E91FAB"/>
    <w:rsid w:val="00E9488B"/>
    <w:rsid w:val="00E958E2"/>
    <w:rsid w:val="00E96A4E"/>
    <w:rsid w:val="00EC2F35"/>
    <w:rsid w:val="00ED6343"/>
    <w:rsid w:val="00EE342F"/>
    <w:rsid w:val="00EE4490"/>
    <w:rsid w:val="00EF385E"/>
    <w:rsid w:val="00EF7CED"/>
    <w:rsid w:val="00F13AC3"/>
    <w:rsid w:val="00F2127C"/>
    <w:rsid w:val="00F2466A"/>
    <w:rsid w:val="00F36CED"/>
    <w:rsid w:val="00F405BC"/>
    <w:rsid w:val="00F42978"/>
    <w:rsid w:val="00F42CC4"/>
    <w:rsid w:val="00F51F5B"/>
    <w:rsid w:val="00F52C72"/>
    <w:rsid w:val="00F541F5"/>
    <w:rsid w:val="00F542E5"/>
    <w:rsid w:val="00F566CF"/>
    <w:rsid w:val="00F90064"/>
    <w:rsid w:val="00F92663"/>
    <w:rsid w:val="00F92C5D"/>
    <w:rsid w:val="00F94322"/>
    <w:rsid w:val="00FA3471"/>
    <w:rsid w:val="00FA4F2F"/>
    <w:rsid w:val="00FB3102"/>
    <w:rsid w:val="00FB4D9B"/>
    <w:rsid w:val="00FF6B61"/>
    <w:rsid w:val="014A4B87"/>
    <w:rsid w:val="018A2655"/>
    <w:rsid w:val="01A050EF"/>
    <w:rsid w:val="01A311FB"/>
    <w:rsid w:val="02F23E08"/>
    <w:rsid w:val="031A552E"/>
    <w:rsid w:val="03984710"/>
    <w:rsid w:val="04361351"/>
    <w:rsid w:val="06CD4EDB"/>
    <w:rsid w:val="083B347B"/>
    <w:rsid w:val="084E30A4"/>
    <w:rsid w:val="08914308"/>
    <w:rsid w:val="0A1C4377"/>
    <w:rsid w:val="0B867103"/>
    <w:rsid w:val="0BA7502E"/>
    <w:rsid w:val="0CF70643"/>
    <w:rsid w:val="0D3753CD"/>
    <w:rsid w:val="0E582DBE"/>
    <w:rsid w:val="0EA95AE9"/>
    <w:rsid w:val="0F890F70"/>
    <w:rsid w:val="10D17115"/>
    <w:rsid w:val="13CC09FA"/>
    <w:rsid w:val="142F3F7D"/>
    <w:rsid w:val="143934F7"/>
    <w:rsid w:val="15453D55"/>
    <w:rsid w:val="16CF122B"/>
    <w:rsid w:val="17B615A5"/>
    <w:rsid w:val="19E0468B"/>
    <w:rsid w:val="1BD143CB"/>
    <w:rsid w:val="1C6A3ED7"/>
    <w:rsid w:val="1CC45CDD"/>
    <w:rsid w:val="1DDB0042"/>
    <w:rsid w:val="2043454C"/>
    <w:rsid w:val="21046B4D"/>
    <w:rsid w:val="216B3E44"/>
    <w:rsid w:val="21880388"/>
    <w:rsid w:val="22F17DF1"/>
    <w:rsid w:val="255A1523"/>
    <w:rsid w:val="25C9128F"/>
    <w:rsid w:val="2988390E"/>
    <w:rsid w:val="2B6B1F67"/>
    <w:rsid w:val="2BD21271"/>
    <w:rsid w:val="2BED6E36"/>
    <w:rsid w:val="2C8A3898"/>
    <w:rsid w:val="2C914E1B"/>
    <w:rsid w:val="2FB37EAA"/>
    <w:rsid w:val="30BA769D"/>
    <w:rsid w:val="310417F9"/>
    <w:rsid w:val="337C6572"/>
    <w:rsid w:val="33E65E34"/>
    <w:rsid w:val="351D276F"/>
    <w:rsid w:val="36E7289C"/>
    <w:rsid w:val="3795592B"/>
    <w:rsid w:val="387E0686"/>
    <w:rsid w:val="38A327F3"/>
    <w:rsid w:val="394A3B6E"/>
    <w:rsid w:val="3A320FA8"/>
    <w:rsid w:val="3A3C7205"/>
    <w:rsid w:val="3ABD7878"/>
    <w:rsid w:val="3B8860A3"/>
    <w:rsid w:val="3BB20293"/>
    <w:rsid w:val="3C270B87"/>
    <w:rsid w:val="3D9D52B6"/>
    <w:rsid w:val="3DCD3B8A"/>
    <w:rsid w:val="3EA07A28"/>
    <w:rsid w:val="3EFE4044"/>
    <w:rsid w:val="3FF046F9"/>
    <w:rsid w:val="40D4527D"/>
    <w:rsid w:val="40EF6293"/>
    <w:rsid w:val="41520324"/>
    <w:rsid w:val="42CF14EF"/>
    <w:rsid w:val="44983A2C"/>
    <w:rsid w:val="449B631A"/>
    <w:rsid w:val="455863FB"/>
    <w:rsid w:val="45D375F4"/>
    <w:rsid w:val="493A7073"/>
    <w:rsid w:val="4A8A26C4"/>
    <w:rsid w:val="4A954692"/>
    <w:rsid w:val="4C733834"/>
    <w:rsid w:val="4D2F5B46"/>
    <w:rsid w:val="4E373CF7"/>
    <w:rsid w:val="4EAC3D58"/>
    <w:rsid w:val="4F0F2539"/>
    <w:rsid w:val="4F9F0661"/>
    <w:rsid w:val="4FDB0044"/>
    <w:rsid w:val="4FE41BE7"/>
    <w:rsid w:val="50031110"/>
    <w:rsid w:val="503F000C"/>
    <w:rsid w:val="50717B93"/>
    <w:rsid w:val="515359EE"/>
    <w:rsid w:val="517072F9"/>
    <w:rsid w:val="517A638F"/>
    <w:rsid w:val="51E03A76"/>
    <w:rsid w:val="530C3017"/>
    <w:rsid w:val="53420F93"/>
    <w:rsid w:val="53DA4EC3"/>
    <w:rsid w:val="54432A10"/>
    <w:rsid w:val="548A6E88"/>
    <w:rsid w:val="54BC59A0"/>
    <w:rsid w:val="55CB1E07"/>
    <w:rsid w:val="5672513E"/>
    <w:rsid w:val="56AD51DD"/>
    <w:rsid w:val="57354F37"/>
    <w:rsid w:val="58B54151"/>
    <w:rsid w:val="59C74550"/>
    <w:rsid w:val="5B0171D9"/>
    <w:rsid w:val="5C7550A1"/>
    <w:rsid w:val="5CC224D1"/>
    <w:rsid w:val="5D4D08F2"/>
    <w:rsid w:val="5E0D2339"/>
    <w:rsid w:val="5EBC7221"/>
    <w:rsid w:val="611046CB"/>
    <w:rsid w:val="611C2EEE"/>
    <w:rsid w:val="61433E39"/>
    <w:rsid w:val="616D5739"/>
    <w:rsid w:val="628B410F"/>
    <w:rsid w:val="62F30039"/>
    <w:rsid w:val="63A90369"/>
    <w:rsid w:val="63BD3EBA"/>
    <w:rsid w:val="642F4309"/>
    <w:rsid w:val="64BA34FF"/>
    <w:rsid w:val="66837358"/>
    <w:rsid w:val="68D810CB"/>
    <w:rsid w:val="6931610C"/>
    <w:rsid w:val="694A706A"/>
    <w:rsid w:val="694C07AD"/>
    <w:rsid w:val="6BB362CE"/>
    <w:rsid w:val="6D2A69D9"/>
    <w:rsid w:val="6D6261FE"/>
    <w:rsid w:val="6D65551B"/>
    <w:rsid w:val="6E155863"/>
    <w:rsid w:val="6ECC3269"/>
    <w:rsid w:val="6FE0340A"/>
    <w:rsid w:val="6FFE3973"/>
    <w:rsid w:val="74D95FC0"/>
    <w:rsid w:val="758160C1"/>
    <w:rsid w:val="75CE23A1"/>
    <w:rsid w:val="76764A82"/>
    <w:rsid w:val="77F26894"/>
    <w:rsid w:val="784A620C"/>
    <w:rsid w:val="785D4C63"/>
    <w:rsid w:val="7AAC3491"/>
    <w:rsid w:val="7AE73A40"/>
    <w:rsid w:val="7B5B1735"/>
    <w:rsid w:val="7C666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仿宋_GB2312" w:cs="Times New Roman"/>
      <w:kern w:val="2"/>
      <w:sz w:val="28"/>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link w:val="19"/>
    <w:unhideWhenUsed/>
    <w:qFormat/>
    <w:uiPriority w:val="99"/>
    <w:pPr>
      <w:spacing w:after="120"/>
    </w:pPr>
  </w:style>
  <w:style w:type="paragraph" w:styleId="3">
    <w:name w:val="annotation text"/>
    <w:basedOn w:val="1"/>
    <w:link w:val="30"/>
    <w:semiHidden/>
    <w:unhideWhenUsed/>
    <w:uiPriority w:val="99"/>
  </w:style>
  <w:style w:type="paragraph" w:styleId="4">
    <w:name w:val="Balloon Text"/>
    <w:basedOn w:val="1"/>
    <w:link w:val="16"/>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Autospacing="1" w:afterAutospacing="1"/>
    </w:pPr>
    <w:rPr>
      <w:kern w:val="0"/>
      <w:sz w:val="24"/>
    </w:rPr>
  </w:style>
  <w:style w:type="paragraph" w:styleId="8">
    <w:name w:val="annotation subject"/>
    <w:basedOn w:val="3"/>
    <w:next w:val="3"/>
    <w:link w:val="31"/>
    <w:semiHidden/>
    <w:unhideWhenUsed/>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annotation reference"/>
    <w:basedOn w:val="11"/>
    <w:semiHidden/>
    <w:unhideWhenUsed/>
    <w:uiPriority w:val="99"/>
    <w:rPr>
      <w:sz w:val="21"/>
      <w:szCs w:val="21"/>
    </w:rPr>
  </w:style>
  <w:style w:type="character" w:customStyle="1" w:styleId="14">
    <w:name w:val="页眉 字符"/>
    <w:basedOn w:val="11"/>
    <w:link w:val="6"/>
    <w:qFormat/>
    <w:uiPriority w:val="99"/>
    <w:rPr>
      <w:sz w:val="18"/>
      <w:szCs w:val="18"/>
    </w:rPr>
  </w:style>
  <w:style w:type="character" w:customStyle="1" w:styleId="15">
    <w:name w:val="页脚 字符"/>
    <w:basedOn w:val="11"/>
    <w:link w:val="5"/>
    <w:qFormat/>
    <w:uiPriority w:val="99"/>
    <w:rPr>
      <w:sz w:val="18"/>
      <w:szCs w:val="18"/>
    </w:rPr>
  </w:style>
  <w:style w:type="character" w:customStyle="1" w:styleId="16">
    <w:name w:val="批注框文本 字符"/>
    <w:basedOn w:val="11"/>
    <w:link w:val="4"/>
    <w:semiHidden/>
    <w:qFormat/>
    <w:uiPriority w:val="99"/>
    <w:rPr>
      <w:rFonts w:ascii="Times New Roman" w:hAnsi="Times New Roman" w:eastAsia="仿宋_GB2312" w:cs="Times New Roman"/>
      <w:sz w:val="18"/>
      <w:szCs w:val="18"/>
    </w:rPr>
  </w:style>
  <w:style w:type="paragraph" w:customStyle="1" w:styleId="17">
    <w:name w:val="ds-markdown-paragraph"/>
    <w:basedOn w:val="1"/>
    <w:qFormat/>
    <w:uiPriority w:val="0"/>
    <w:pPr>
      <w:spacing w:before="100" w:beforeAutospacing="1" w:after="100" w:afterAutospacing="1"/>
    </w:pPr>
    <w:rPr>
      <w:rFonts w:ascii="宋体" w:hAnsi="宋体" w:eastAsia="宋体" w:cs="宋体"/>
      <w:kern w:val="0"/>
      <w:sz w:val="24"/>
      <w:szCs w:val="24"/>
    </w:rPr>
  </w:style>
  <w:style w:type="paragraph" w:styleId="18">
    <w:name w:val="List Paragraph"/>
    <w:basedOn w:val="1"/>
    <w:qFormat/>
    <w:uiPriority w:val="99"/>
    <w:pPr>
      <w:ind w:firstLine="420" w:firstLineChars="200"/>
    </w:pPr>
  </w:style>
  <w:style w:type="character" w:customStyle="1" w:styleId="19">
    <w:name w:val="正文文本 字符"/>
    <w:basedOn w:val="11"/>
    <w:link w:val="2"/>
    <w:qFormat/>
    <w:uiPriority w:val="99"/>
    <w:rPr>
      <w:rFonts w:ascii="Times New Roman" w:hAnsi="Times New Roman" w:eastAsia="仿宋_GB2312" w:cs="Times New Roman"/>
      <w:kern w:val="2"/>
      <w:sz w:val="28"/>
    </w:rPr>
  </w:style>
  <w:style w:type="table" w:customStyle="1" w:styleId="20">
    <w:name w:val="网格型1"/>
    <w:basedOn w:val="9"/>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标准文件_正文表标题"/>
    <w:next w:val="1"/>
    <w:qFormat/>
    <w:uiPriority w:val="0"/>
    <w:pPr>
      <w:numPr>
        <w:ilvl w:val="0"/>
        <w:numId w:val="1"/>
      </w:numPr>
      <w:tabs>
        <w:tab w:val="left" w:pos="0"/>
      </w:tabs>
      <w:spacing w:before="50" w:beforeLines="50" w:after="50" w:afterLines="50"/>
      <w:jc w:val="center"/>
    </w:pPr>
    <w:rPr>
      <w:rFonts w:ascii="黑体" w:hAnsi="Times New Roman" w:eastAsia="黑体" w:cs="Times New Roman"/>
      <w:sz w:val="21"/>
      <w:lang w:val="en-US" w:eastAsia="zh-CN" w:bidi="ar-SA"/>
    </w:rPr>
  </w:style>
  <w:style w:type="table" w:customStyle="1" w:styleId="22">
    <w:name w:val="网格型2"/>
    <w:basedOn w:val="9"/>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网格型3"/>
    <w:basedOn w:val="9"/>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段"/>
    <w:link w:val="28"/>
    <w:qFormat/>
    <w:uiPriority w:val="0"/>
    <w:pPr>
      <w:autoSpaceDE w:val="0"/>
      <w:autoSpaceDN w:val="0"/>
      <w:ind w:firstLine="200" w:firstLineChars="200"/>
      <w:jc w:val="both"/>
    </w:pPr>
    <w:rPr>
      <w:rFonts w:ascii="宋体" w:hAnsi="宋体" w:eastAsia="宋体" w:cstheme="minorBidi"/>
      <w:kern w:val="2"/>
      <w:sz w:val="21"/>
      <w:szCs w:val="24"/>
      <w:lang w:val="en-US" w:eastAsia="zh-CN" w:bidi="ar-SA"/>
    </w:rPr>
  </w:style>
  <w:style w:type="paragraph" w:customStyle="1" w:styleId="25">
    <w:name w:val="Revision"/>
    <w:hidden/>
    <w:unhideWhenUsed/>
    <w:qFormat/>
    <w:uiPriority w:val="99"/>
    <w:rPr>
      <w:rFonts w:ascii="Times New Roman" w:hAnsi="Times New Roman" w:eastAsia="仿宋_GB2312" w:cs="Times New Roman"/>
      <w:kern w:val="2"/>
      <w:sz w:val="28"/>
      <w:lang w:val="en-US" w:eastAsia="zh-CN" w:bidi="ar-SA"/>
    </w:rPr>
  </w:style>
  <w:style w:type="paragraph" w:customStyle="1" w:styleId="26">
    <w:name w:val="标准文件_段"/>
    <w:link w:val="2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7">
    <w:name w:val="标准文件_段 Char"/>
    <w:link w:val="26"/>
    <w:qFormat/>
    <w:uiPriority w:val="0"/>
    <w:rPr>
      <w:rFonts w:ascii="宋体"/>
      <w:sz w:val="21"/>
    </w:rPr>
  </w:style>
  <w:style w:type="character" w:customStyle="1" w:styleId="28">
    <w:name w:val="段 Char"/>
    <w:link w:val="24"/>
    <w:qFormat/>
    <w:uiPriority w:val="0"/>
    <w:rPr>
      <w:rFonts w:ascii="宋体" w:hAnsi="宋体" w:cstheme="minorBidi"/>
      <w:kern w:val="2"/>
      <w:sz w:val="21"/>
      <w:szCs w:val="24"/>
    </w:rPr>
  </w:style>
  <w:style w:type="paragraph" w:customStyle="1" w:styleId="29">
    <w:name w:val="Table Paragraph"/>
    <w:basedOn w:val="1"/>
    <w:qFormat/>
    <w:uiPriority w:val="0"/>
    <w:pPr>
      <w:widowControl w:val="0"/>
    </w:pPr>
    <w:rPr>
      <w:rFonts w:ascii="Calibri" w:hAnsi="Calibri" w:eastAsia="宋体"/>
      <w:kern w:val="0"/>
      <w:sz w:val="22"/>
      <w:szCs w:val="22"/>
      <w:lang w:eastAsia="en-US"/>
    </w:rPr>
  </w:style>
  <w:style w:type="character" w:customStyle="1" w:styleId="30">
    <w:name w:val="批注文字 字符"/>
    <w:basedOn w:val="11"/>
    <w:link w:val="3"/>
    <w:semiHidden/>
    <w:uiPriority w:val="99"/>
    <w:rPr>
      <w:rFonts w:eastAsia="仿宋_GB2312"/>
      <w:kern w:val="2"/>
      <w:sz w:val="28"/>
    </w:rPr>
  </w:style>
  <w:style w:type="character" w:customStyle="1" w:styleId="31">
    <w:name w:val="批注主题 字符"/>
    <w:basedOn w:val="30"/>
    <w:link w:val="8"/>
    <w:semiHidden/>
    <w:uiPriority w:val="99"/>
    <w:rPr>
      <w:rFonts w:eastAsia="仿宋_GB2312"/>
      <w:b/>
      <w:bCs/>
      <w:kern w:val="2"/>
      <w:sz w:val="28"/>
    </w:rPr>
  </w:style>
  <w:style w:type="paragraph" w:customStyle="1" w:styleId="32">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15</Pages>
  <Words>220</Words>
  <Characters>245</Characters>
  <Lines>321</Lines>
  <Paragraphs>398</Paragraphs>
  <TotalTime>9008</TotalTime>
  <ScaleCrop>false</ScaleCrop>
  <LinksUpToDate>false</LinksUpToDate>
  <CharactersWithSpaces>245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2026-02-05T02:02:00Z</dcterms:created>
  <dc:creator>微软用户</dc:creator>
  <cp:lastModifiedBy>李海漪</cp:lastModifiedBy>
  <cp:lastPrinted>2021-08-30T08:52:00Z</cp:lastPrinted>
  <dcterms:modified xsi:type="dcterms:W3CDTF">2026-03-13T07:56:36Z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CD4715600FB84544AC5725164DA05A3F_13</vt:lpwstr>
  </property>
  <property fmtid="{D5CDD505-2E9C-101B-9397-08002B2CF9AE}" pid="4" name="KSOTemplateDocerSaveRecord">
    <vt:lpwstr>eyJoZGlkIjoiNWViNWJiYWIwNTQzOTBkYmNhYzgzODJiOWYzNTdlN2MiLCJ1c2VySWQiOiIxMjA1ODA5NjUzIn0=</vt:lpwstr>
  </property>
</Properties>
</file>